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AD皮层中HERV相关转录变化及调控机制</w:t>
      </w:r>
    </w:p>
    <w:p>
      <w:pPr>
        <w:pStyle w:val="Subtitle"/>
      </w:pPr>
      <w:r>
        <w:t>研究计划书 · 导师讨论稿 · 2026年9月17日</w:t>
      </w:r>
    </w:p>
    <w:p>
      <w:pPr>
        <w:pStyle w:val="Heading1"/>
      </w:pPr>
      <w:r>
        <w:t>一 想回答什么问题</w:t>
      </w:r>
    </w:p>
    <w:p>
      <w:r>
        <w:rPr>
          <w:b w:val="0"/>
        </w:rPr>
        <w:t>本科阶段的工作已经围绕AD中的HERV表达变化展开。接下来希望把问题推进到具体细胞和具体转录事件：</w:t>
      </w:r>
      <w:r>
        <w:rPr>
          <w:b/>
        </w:rPr>
        <w:t>哪些HERV相关信号在AD中稳定改变，这些信号来自什么RNA，它们可能通过什么方式参与细胞状态或宿主基因调控？</w:t>
      </w:r>
    </w:p>
    <w:p>
      <w:r>
        <w:rPr>
          <w:b w:val="0"/>
        </w:rPr>
        <w:t>这里先使用“HERV相关转录”这个范围较宽的说法。测到HERV区域的RNA，可能是HERV自身启动转录，也可能是宿主基因转录本包含了HERV片段，或是细胞核中尚未剪接的RNA。把这些情况区分开，才能解释表达升高的生物学含义。</w:t>
      </w:r>
    </w:p>
    <w:p>
      <w:r>
        <w:rPr>
          <w:b w:val="0"/>
        </w:rPr>
        <w:t>工作假设是：AD中部分HERV/LTR位点的转录和调控状态发生细胞类型特异性变化，其中一些只是反映疾病状态，另一些可能与替代启动子、剪接或宿主基因调控有关。研究先发现可重复的变化，再对少数候选位点补充结构、染色质和遗传证据。</w:t>
      </w:r>
    </w:p>
    <w:p>
      <w:pPr>
        <w:pStyle w:val="Heading1"/>
      </w:pPr>
      <w:r>
        <w:t>二 数据怎样分工</w:t>
      </w:r>
    </w:p>
    <w:p>
      <w:r>
        <w:rPr>
          <w:b/>
        </w:rPr>
        <w:t>表达发现以5个前额叶或额叶队列为主，当前计划人数为95位供体，即54AD＋41对照。</w:t>
      </w:r>
      <w:r>
        <w:rPr>
          <w:b w:val="0"/>
        </w:rPr>
        <w:t>这是现有分组的合计；供体去重、原始数据可用性和质量控制完成后，再确定最终纳入人数。每种细胞类型实际能用于统计的供体数也可能不同，不必为了凑到100而放宽纳入条件。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41"/>
        <w:gridCol w:w="3572"/>
        <w:gridCol w:w="4025"/>
      </w:tblGrid>
      <w:tr>
        <w:trPr>
          <w:cantSplit/>
          <w:tblHeader/>
        </w:trPr>
        <w:tc>
          <w:tcPr>
            <w:tcW w:type="dxa" w:w="2041"/>
            <w:vAlign w:val="center"/>
            <w:shd w:fill="E6EDF3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  <w:jc w:val="center"/>
            </w:pPr>
            <w:r>
              <w:rPr>
                <w:b/>
                <w:sz w:val="18"/>
              </w:rPr>
              <w:t>数据层次</w:t>
            </w:r>
          </w:p>
        </w:tc>
        <w:tc>
          <w:tcPr>
            <w:tcW w:type="dxa" w:w="3572"/>
            <w:vAlign w:val="center"/>
            <w:shd w:fill="E6EDF3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  <w:jc w:val="center"/>
            </w:pPr>
            <w:r>
              <w:rPr>
                <w:b/>
                <w:sz w:val="18"/>
              </w:rPr>
              <w:t>主要数据</w:t>
            </w:r>
          </w:p>
        </w:tc>
        <w:tc>
          <w:tcPr>
            <w:tcW w:type="dxa" w:w="4025"/>
            <w:vAlign w:val="center"/>
            <w:shd w:fill="E6EDF3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  <w:jc w:val="center"/>
            </w:pPr>
            <w:r>
              <w:rPr>
                <w:b/>
                <w:sz w:val="18"/>
              </w:rPr>
              <w:t>回答的问题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主表达分析</w:t>
            </w:r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GSE157827、GSE174367、GSE214979、GSE183068、GSE310554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哪些HERV位点在哪些细胞类型中与AD相关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结构和调控</w:t>
            </w:r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两个长读长队列；GSE174367的bulk和ATAC；GSE214979的Multiome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RNA如何连接，相关LTR是否开放，哪些TF值得关注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独立或定向验证</w:t>
            </w:r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GSE303823、GSE222494；GSE263468、GSE268599、GSE237718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同脑区能否复现，以及与病理、星胶或其他脑区的关系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公共遗传资源</w:t>
            </w:r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CommonMind权重、AD GWAS、SERVE、SingleBrain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候选HERV或相关宿主基因是否还有遗传支持</w:t>
            </w:r>
          </w:p>
        </w:tc>
      </w:tr>
    </w:tbl>
    <w:p>
      <w:pPr>
        <w:spacing w:after="0" w:line="120" w:lineRule="auto"/>
      </w:pPr>
      <w:r>
        <w:rPr>
          <w:sz w:val="6"/>
        </w:rPr>
      </w:r>
    </w:p>
    <w:p>
      <w:r>
        <w:rPr>
          <w:b w:val="0"/>
        </w:rPr>
        <w:t>详细数据见附表。主分析与验证数据分开使用；精神分裂症长读长数据仅作结构参考。</w:t>
      </w:r>
    </w:p>
    <w:p>
      <w:pPr>
        <w:pStyle w:val="Heading1"/>
        <w:pageBreakBefore/>
      </w:pPr>
      <w:r>
        <w:t>三 HERV注释先保留哪些选择</w:t>
      </w:r>
    </w:p>
    <w:p>
      <w:r>
        <w:rPr>
          <w:b/>
        </w:rPr>
        <w:t>“注释”需要分成表达计数单位、DNA结构和RNA转录结构三层。</w:t>
      </w:r>
      <w:r>
        <w:rPr>
          <w:b w:val="0"/>
        </w:rPr>
        <w:t>同一个HERV位点可以产生不同RNA，LTR序列上的预测启动子也不等于实际使用的转录起点。因此，目前不急于选一个数据库包办全部分析。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41"/>
        <w:gridCol w:w="3572"/>
        <w:gridCol w:w="4025"/>
      </w:tblGrid>
      <w:tr>
        <w:trPr>
          <w:cantSplit/>
          <w:tblHeader/>
        </w:trPr>
        <w:tc>
          <w:tcPr>
            <w:tcW w:type="dxa" w:w="2041"/>
            <w:vAlign w:val="center"/>
            <w:shd w:fill="E6EDF3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  <w:jc w:val="center"/>
            </w:pPr>
            <w:r>
              <w:rPr>
                <w:b/>
                <w:sz w:val="18"/>
              </w:rPr>
              <w:t>候选资源或方向</w:t>
            </w:r>
          </w:p>
        </w:tc>
        <w:tc>
          <w:tcPr>
            <w:tcW w:type="dxa" w:w="3572"/>
            <w:vAlign w:val="center"/>
            <w:shd w:fill="E6EDF3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  <w:jc w:val="center"/>
            </w:pPr>
            <w:r>
              <w:rPr>
                <w:b/>
                <w:sz w:val="18"/>
              </w:rPr>
              <w:t>能提供什么</w:t>
            </w:r>
          </w:p>
        </w:tc>
        <w:tc>
          <w:tcPr>
            <w:tcW w:type="dxa" w:w="4025"/>
            <w:vAlign w:val="center"/>
            <w:shd w:fill="E6EDF3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  <w:jc w:val="center"/>
            </w:pPr>
            <w:r>
              <w:rPr>
                <w:b/>
                <w:sz w:val="18"/>
              </w:rPr>
              <w:t>在本项目中的用法与限制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Telescope/Stellarscope所用的位点注释</w:t>
            </w:r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将重复序列整理成可做位点定量的单位；可考察retro.hg38.v1等版本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优先作为snRNA表达分析的候选参考；覆盖范围由其构建规则决定，不能当作完整RNA结构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RepeatMasker及Dfam分类</w:t>
            </w:r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更细的重复序列坐标、家族和LTR/内部片段信息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补查solo LTR、退化片段和主参考遗漏区域；直接逐片段计数容易把同一事件拆开，需另行整理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SERVE及其GTEx hervRNA资源</w:t>
            </w:r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基于RNA组装得到的表达转录结构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与候选位点交叉比对，参考正常组织中的转录形式；正常组织参考可能漏掉AD特异事件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长读长数据构建的脑组织转录本</w:t>
            </w:r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HERV片段与外显子、剪接连接的实际分子证据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重点解释候选位点；受组织混合、测序深度和poly(A)选择限制，未检出不代表不存在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HERVarium的LTR资源</w:t>
            </w:r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LTR类别、U3/R/U5、PBS/PPT、TF motif及置信标记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用于DNA结构与调控潜力注释；预测边界和motif仍需RNA、ATAC等证据支持</w:t>
            </w:r>
          </w:p>
        </w:tc>
      </w:tr>
    </w:tbl>
    <w:p>
      <w:pPr>
        <w:spacing w:after="0" w:line="120" w:lineRule="auto"/>
      </w:pPr>
      <w:r>
        <w:rPr>
          <w:sz w:val="6"/>
        </w:rPr>
      </w:r>
    </w:p>
    <w:p>
      <w:r>
        <w:rPr>
          <w:b w:val="0"/>
        </w:rPr>
        <w:t>资源入口：</w:t>
      </w:r>
      <w:hyperlink r:id="rId11">
        <w:r>
          <w:rPr>
            <w:color w:val="24476A"/>
            <w:rFonts w:ascii="Calibri" w:eastAsia="Noto Sans CJK SC"/>
          </w:rPr>
          <w:t>Telescope注释库</w:t>
        </w:r>
      </w:hyperlink>
      <w:r>
        <w:rPr>
          <w:b w:val="0"/>
        </w:rPr>
        <w:t>、</w:t>
      </w:r>
      <w:hyperlink r:id="rId12">
        <w:r>
          <w:rPr>
            <w:color w:val="24476A"/>
            <w:rFonts w:ascii="Calibri" w:eastAsia="Noto Sans CJK SC"/>
          </w:rPr>
          <w:t>RepeatMasker</w:t>
        </w:r>
      </w:hyperlink>
      <w:r>
        <w:rPr>
          <w:b w:val="0"/>
        </w:rPr>
        <w:t>、</w:t>
      </w:r>
      <w:hyperlink r:id="rId13">
        <w:r>
          <w:rPr>
            <w:color w:val="24476A"/>
            <w:rFonts w:ascii="Calibri" w:eastAsia="Noto Sans CJK SC"/>
          </w:rPr>
          <w:t>SERVE论文</w:t>
        </w:r>
      </w:hyperlink>
      <w:r>
        <w:rPr>
          <w:b w:val="0"/>
        </w:rPr>
        <w:t>及</w:t>
      </w:r>
      <w:hyperlink r:id="rId14">
        <w:r>
          <w:rPr>
            <w:color w:val="24476A"/>
            <w:rFonts w:ascii="Calibri" w:eastAsia="Noto Sans CJK SC"/>
          </w:rPr>
          <w:t>代码</w:t>
        </w:r>
      </w:hyperlink>
      <w:r>
        <w:rPr>
          <w:b w:val="0"/>
        </w:rPr>
        <w:t>、</w:t>
      </w:r>
      <w:hyperlink r:id="rId15">
        <w:r>
          <w:rPr>
            <w:color w:val="24476A"/>
            <w:rFonts w:ascii="Calibri" w:eastAsia="Noto Sans CJK SC"/>
          </w:rPr>
          <w:t>HERVarium LTR资源</w:t>
        </w:r>
      </w:hyperlink>
      <w:r>
        <w:rPr>
          <w:b w:val="0"/>
        </w:rPr>
        <w:t>。HERVarium仓库目前引用的是2026年预印本，可作为候选资源，使用时保留版本与置信标记。</w:t>
      </w:r>
    </w:p>
    <w:p>
      <w:r>
        <w:rPr>
          <w:b/>
        </w:rPr>
        <w:t>暂定做法：现有位点参考负责发现，长读长和SERVE负责解释RNA，RepeatMasker和HERVarium负责补充DNA结构。</w:t>
      </w:r>
      <w:r>
        <w:rPr>
          <w:b w:val="0"/>
        </w:rPr>
        <w:t>先选少量有代表性的供体，比较现有位点参考与较广的LTR/ERV补充集合，观察可检测范围、位点归属稳定性及计算量，再固定正式分析的注释。各套注释做坐标对应，避免直接拼接后重复计数；不同基因组版本需要统一。</w:t>
      </w:r>
    </w:p>
    <w:p>
      <w:r>
        <w:rPr>
          <w:b w:val="0"/>
        </w:rPr>
        <w:t>单细胞TE图谱使用的retro.hg38.v1包含28,513个HERV和L1条目，这个数字不是HERV的单独数量。借用该参考时，需要明确最终报告的HERV范围，并检查与其他重复序列的比对混淆。</w:t>
      </w:r>
      <w:hyperlink r:id="rId16">
        <w:r>
          <w:rPr>
            <w:color w:val="24476A"/>
            <w:rFonts w:ascii="Calibri" w:eastAsia="Noto Sans CJK SC"/>
          </w:rPr>
          <w:t>单细胞TE图谱</w:t>
        </w:r>
      </w:hyperlink>
    </w:p>
    <w:p>
      <w:pPr>
        <w:pStyle w:val="Heading1"/>
        <w:pageBreakBefore/>
      </w:pPr>
      <w:r>
        <w:t>四 先找可重复的细胞类型特异性变化</w:t>
      </w:r>
    </w:p>
    <w:p>
      <w:r>
        <w:rPr>
          <w:b w:val="0"/>
        </w:rPr>
        <w:t>从原始snRNA数据统一比对，拟用</w:t>
      </w:r>
      <w:r>
        <w:rPr>
          <w:b/>
        </w:rPr>
        <w:t>STARsolo处理比对和基因计数，Stellarscope进行HERV位点定量</w:t>
      </w:r>
      <w:r>
        <w:rPr>
          <w:b w:val="0"/>
        </w:rPr>
        <w:t>。HERV序列相似，保留多重比对信息并进行合理分配，比只统计唯一比对更适合作为主方案；但分配结果仍需检查，尤其是高度相似的候选位点。</w:t>
      </w:r>
    </w:p>
    <w:p>
      <w:r>
        <w:rPr>
          <w:b w:val="0"/>
        </w:rPr>
        <w:t>用Seurat等工具完成细胞质控和主要细胞类型注释。差异分析按“供体×细胞类型”汇总计数，即pseudobulk：把同一人的同类细胞汇总成一个统计样本，避免把大量细胞误当作大量独立供体。</w:t>
      </w:r>
    </w:p>
    <w:p>
      <w:r>
        <w:rPr>
          <w:b w:val="0"/>
        </w:rPr>
        <w:t>各队列分别比较AD与对照，拟用limma-voom，并根据可获得的元数据考虑年龄、性别、PMI等协变量；再用metafor汇总各队列的效应及不确定性。重点看效应方向、效应大小、FDR和队列间一致性，不以合并细胞后的显著性筛候选。小队列不同时塞入过多协变量。</w:t>
      </w:r>
    </w:p>
    <w:p>
      <w:r>
        <w:rPr>
          <w:b w:val="0"/>
        </w:rPr>
        <w:t>得到候选后，再结合炎症、干扰素反应、应激等基因集，用UCell评分或供体级通路分析判断HERV变化伴随哪类细胞状态。HERV高低分组可以帮助展示，但正式关联仍要考虑供体和测序深度。对与宿主基因重叠的位点，检查两者是否由同一批reads计数造成表面上的共表达。</w:t>
      </w:r>
    </w:p>
    <w:p>
      <w:pPr>
        <w:pStyle w:val="Heading1"/>
      </w:pPr>
      <w:r>
        <w:t>五 判断候选位点实际转录出了什么</w:t>
      </w:r>
    </w:p>
    <w:p>
      <w:r>
        <w:rPr>
          <w:b/>
        </w:rPr>
        <w:t>长读长分析的重点是把HERV信号放回完整的RNA连接关系中。</w:t>
      </w:r>
      <w:r>
        <w:rPr>
          <w:b w:val="0"/>
        </w:rPr>
        <w:t>优先使用SRP456327的AD/对照长读长数据，GSE282551作为额叶转录结构补充。拟用minimap2比对、bambu识别转录本、SQANTI3检查结构质量；对关键而有歧义的位点再人工查看比对，必要时换用另一种重建方法复核。</w:t>
      </w:r>
    </w:p>
    <w:p>
      <w:r>
        <w:rPr>
          <w:b w:val="0"/>
        </w:rPr>
        <w:t>候选大致分为：HERV区域内起始的转录；HERV/LTR参与宿主转录本的替代起始或外显子连接；宿主转录延伸或未剪接RNA造成的覆盖；以及现有证据无法区分的情况。完整分子连接和剪接证据比“某个区域有覆盖”更有解释力。长读长两端也可能不完整，不能自动当作真实起止点。</w:t>
      </w:r>
    </w:p>
    <w:p>
      <w:r>
        <w:rPr>
          <w:b w:val="0"/>
        </w:rPr>
        <w:t>随后回到GSE174367的链特异bulk RNA中，检查这些连接、覆盖方向及表达是否得到支持。可以用STAR与regtools提取剪接连接，比较候选连接的变化是否只是跟随宿主基因整体表达。snRNA的3′信号用于定位可能相关的细胞类型，只有存在可区分信息时才进一步分配到具体异构体。</w:t>
      </w:r>
    </w:p>
    <w:p>
      <w:r>
        <w:rPr>
          <w:b w:val="0"/>
        </w:rPr>
        <w:t>这一部分预期得到少量结构较清楚的候选，例如“某LTR附近起始并连接到宿主基因的RNA”。如果只能确认HERV区域表达变化，就保留在位点层面解释。</w:t>
      </w:r>
    </w:p>
    <w:p>
      <w:pPr>
        <w:pStyle w:val="Heading1"/>
        <w:pageBreakBefore/>
      </w:pPr>
      <w:r>
        <w:t>六 用染色质和遗传数据补充解释</w:t>
      </w:r>
    </w:p>
    <w:p>
      <w:r>
        <w:rPr>
          <w:b/>
        </w:rPr>
        <w:t>染色质分析围绕已筛出的候选位点展开。</w:t>
      </w:r>
      <w:r>
        <w:rPr>
          <w:b w:val="0"/>
        </w:rPr>
        <w:t>利用GSE174367和GSE214979，查看相应细胞类型中候选LTR或附近区域是否开放，AD中的开放性变化是否与RNA变化相符。拟用Signac处理ATAC，结合chromVAR评估相关TF motif的活性变化。</w:t>
      </w:r>
    </w:p>
    <w:p>
      <w:r>
        <w:rPr>
          <w:b w:val="0"/>
        </w:rPr>
        <w:t>HERVarium提供的motif可帮助缩小TF范围，再结合TF自身表达和细胞状态判断哪些调控关系值得关注。GSE214979的同核RNA＋ATAC尤其适合寻找细胞内的联合证据，但只有15位供体，更适合候选验证。motif、开放性和共表达共同支持的是调控假设，直接结合或调控作用仍需要实验验证。</w:t>
      </w:r>
    </w:p>
    <w:p>
      <w:r>
        <w:rPr>
          <w:b/>
        </w:rPr>
        <w:t>遗传分析作为并行支持模块，不要求所有表达候选都有遗传信号。</w:t>
      </w:r>
      <w:r>
        <w:rPr>
          <w:b w:val="0"/>
        </w:rPr>
        <w:t>先用CommonMind公开的HERV表达预测权重结合AD GWAS做rTWAS：利用SNP预测的表达成分，检验它与AD遗传风险是否相关。拟用FUSION，并在候选区域同时考虑邻近或宿主gene的模型；必要时用条件分析和FOCUS比较可能解释同一信号的对象。</w:t>
      </w:r>
    </w:p>
    <w:p>
      <w:r>
        <w:rPr>
          <w:b w:val="0"/>
        </w:rPr>
        <w:t>公共权重只能测试已建立模型的HERV。没有覆盖的位点不能解释为“没有遗传作用”，而bulk脑组织模型的结果也不能直接归为某一种细胞类型。不同注释之间需按坐标、链方向和定义核对，不能只按名字强行对应。</w:t>
      </w:r>
      <w:hyperlink r:id="rId17">
        <w:r>
          <w:rPr>
            <w:color w:val="24476A"/>
            <w:rFonts w:ascii="Calibri" w:eastAsia="Noto Sans CJK SC"/>
          </w:rPr>
          <w:t>rTWAS研究及模型资源</w:t>
        </w:r>
      </w:hyperlink>
    </w:p>
    <w:p>
      <w:r>
        <w:rPr>
          <w:b w:val="0"/>
        </w:rPr>
        <w:t>如果能够取得SERVE完整的区域逐SNP QTL统计，再考虑共定位，判断HERV表达与AD风险是否可能共享遗传信号；SMR可作为后续补充。SingleBrain目前用于宿主或邻近gene的细胞类型eQTL解释，不能替代HERV eQTL。这些分析帮助筛选候选，不单独证明HERV导致AD。</w:t>
      </w:r>
    </w:p>
    <w:p>
      <w:pPr>
        <w:pStyle w:val="Heading1"/>
      </w:pPr>
      <w:r>
        <w:t>七 验证重点和希望与导师讨论的选择</w:t>
      </w:r>
    </w:p>
    <w:p>
      <w:r>
        <w:rPr>
          <w:b w:val="0"/>
        </w:rPr>
        <w:t>同脑区优先考虑GSE303823，以及获得可重分析原始数据后的GSE222494散发AD/对照子集。GSE263468用于病理梯度关联，GSE268599用于星胶定向验证，GSE237718检验颞叶中能否复现。不同脑区或富集方式导致的差异也作为结果解释的一部分。</w:t>
      </w:r>
    </w:p>
    <w:p>
      <w:r>
        <w:rPr>
          <w:b w:val="0"/>
        </w:rPr>
        <w:t>目前建议先完成</w:t>
      </w:r>
      <w:r>
        <w:rPr>
          <w:b/>
        </w:rPr>
        <w:t>可重复的表达变化＋关键候选的转录结构</w:t>
      </w:r>
      <w:r>
        <w:rPr>
          <w:b w:val="0"/>
        </w:rPr>
        <w:t>，再集中做ATAC/TF和遗传整合。最终交付一组带有细胞类型、结构解释和支持证据的候选位点，优先挑1—3个考虑位点特异RT-PCR、剪接连接验证或CRISPRi等实验；具体实验取决于候选类型及可获得模型。</w:t>
      </w:r>
    </w:p>
    <w:p>
      <w:r>
        <w:rPr>
          <w:b w:val="0"/>
        </w:rPr>
        <w:t>讨论时主要决定三件事：研究范围以既有HERV位点为主还是扩展solo LTR；是否先聚焦一种证据较强的细胞类型；遗传分析作为核心目标还是扩展模块。分析阈值和软件参数留到试跑后确定。</w:t>
      </w:r>
    </w:p>
    <w:p>
      <w:pPr>
        <w:pStyle w:val="Heading1"/>
        <w:pageBreakBefore/>
      </w:pPr>
      <w:r>
        <w:t>附表一 表达与多组学数据</w:t>
      </w:r>
    </w:p>
    <w:p>
      <w:r>
        <w:rPr>
          <w:b w:val="0"/>
        </w:rPr>
        <w:t>以下为当前计划清单。人数按供体计，文库数与脑区样本数另列；95人的主分析合计尚需去重和质控确认。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41"/>
        <w:gridCol w:w="3572"/>
        <w:gridCol w:w="4025"/>
      </w:tblGrid>
      <w:tr>
        <w:trPr>
          <w:cantSplit/>
          <w:tblHeader/>
        </w:trPr>
        <w:tc>
          <w:tcPr>
            <w:tcW w:type="dxa" w:w="2041"/>
            <w:vAlign w:val="center"/>
            <w:shd w:fill="E6EDF3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  <w:jc w:val="center"/>
            </w:pPr>
            <w:r>
              <w:rPr>
                <w:b/>
                <w:sz w:val="18"/>
              </w:rPr>
              <w:t>数据集</w:t>
            </w:r>
          </w:p>
        </w:tc>
        <w:tc>
          <w:tcPr>
            <w:tcW w:type="dxa" w:w="3572"/>
            <w:vAlign w:val="center"/>
            <w:shd w:fill="E6EDF3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  <w:jc w:val="center"/>
            </w:pPr>
            <w:r>
              <w:rPr>
                <w:b/>
                <w:sz w:val="18"/>
              </w:rPr>
              <w:t>样本量与脑区</w:t>
            </w:r>
          </w:p>
        </w:tc>
        <w:tc>
          <w:tcPr>
            <w:tcW w:type="dxa" w:w="4025"/>
            <w:vAlign w:val="center"/>
            <w:shd w:fill="E6EDF3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  <w:jc w:val="center"/>
            </w:pPr>
            <w:r>
              <w:rPr>
                <w:b/>
                <w:sz w:val="18"/>
              </w:rPr>
              <w:t>建库及计划用途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18">
              <w:r>
                <w:rPr>
                  <w:color w:val="24476A"/>
                  <w:rFonts w:ascii="Calibri" w:eastAsia="Noto Sans CJK SC"/>
                  <w:sz w:val="18"/>
                </w:rPr>
                <w:t>GSE157827</w:t>
              </w:r>
            </w:hyperlink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12AD＋9NC；PFC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10x 3′v3；主snRNA差异分析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19">
              <w:r>
                <w:rPr>
                  <w:color w:val="24476A"/>
                  <w:rFonts w:ascii="Calibri" w:eastAsia="Noto Sans CJK SC"/>
                  <w:sz w:val="18"/>
                </w:rPr>
                <w:t>GSE174367</w:t>
              </w:r>
            </w:hyperlink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snRNA 11AD＋7NC；ATAC 12AD＋8NC；另191份bulk文库；单核以PFC为主，bulk含多个脑区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RNA 10x 3′v3；ATAC v1；bulk为SMARTer Stranded Total RNA；表达、开放性和结构复核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20">
              <w:r>
                <w:rPr>
                  <w:color w:val="24476A"/>
                  <w:rFonts w:ascii="Calibri" w:eastAsia="Noto Sans CJK SC"/>
                  <w:sz w:val="18"/>
                </w:rPr>
                <w:t>GSE214979</w:t>
              </w:r>
            </w:hyperlink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7AD＋8对照；DLPFC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10x Multiome；同核RNA/ATAC联合分析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21">
              <w:r>
                <w:rPr>
                  <w:color w:val="24476A"/>
                  <w:rFonts w:ascii="Calibri" w:eastAsia="Noto Sans CJK SC"/>
                  <w:sz w:val="18"/>
                </w:rPr>
                <w:t>GSE183068</w:t>
              </w:r>
            </w:hyperlink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15AD＋8对照；额叶皮层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10x 3′v3；主分析拟取TREM2-WT AD子集及对照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22">
              <w:r>
                <w:rPr>
                  <w:color w:val="24476A"/>
                  <w:rFonts w:ascii="Calibri" w:eastAsia="Noto Sans CJK SC"/>
                  <w:sz w:val="18"/>
                </w:rPr>
                <w:t>GSE310554</w:t>
              </w:r>
            </w:hyperlink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9AD＋9对照；PFC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10x 3′v3.1；主分析取当前选定的实质样本子集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23">
              <w:r>
                <w:rPr>
                  <w:color w:val="24476A"/>
                  <w:rFonts w:ascii="Calibri" w:eastAsia="Noto Sans CJK SC"/>
                  <w:sz w:val="18"/>
                </w:rPr>
                <w:t>GSE303823</w:t>
              </w:r>
            </w:hyperlink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4AD＋4对照；前额叶中额回，灰质/白质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GEO记录为10x 3′v3；同脑区候补验证，组织分区需单列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24">
              <w:r>
                <w:rPr>
                  <w:color w:val="24476A"/>
                  <w:rFonts w:ascii="Calibri" w:eastAsia="Noto Sans CJK SC"/>
                  <w:sz w:val="18"/>
                </w:rPr>
                <w:t>GSE222494</w:t>
              </w:r>
            </w:hyperlink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8散发AD＋8对照＋8PSEN1-E280A；额叶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10x 3′v3.1；散发AD验证候补，遗传性AD另分析；原始reads获取待确认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25">
              <w:r>
                <w:rPr>
                  <w:color w:val="24476A"/>
                  <w:rFonts w:ascii="Calibri" w:eastAsia="Noto Sans CJK SC"/>
                  <w:sz w:val="18"/>
                </w:rPr>
                <w:t>GSE263468</w:t>
              </w:r>
            </w:hyperlink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BA9共42位：低病理17、中间10、高病理15；另含BA7、BA17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Drop-seq/10x v2/v3，All Nuclei及NeuN富集；主要用于病理关联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26">
              <w:r>
                <w:rPr>
                  <w:color w:val="24476A"/>
                  <w:rFonts w:ascii="Calibri" w:eastAsia="Noto Sans CJK SC"/>
                  <w:sz w:val="18"/>
                </w:rPr>
                <w:t>GSE268599</w:t>
              </w:r>
            </w:hyperlink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全项目32位、146份脑区样本；EC、ITG、BA46、V2、V1；BA46有效人数另核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去除NeuN和OLIG2阳性核的10x 3′snRNA；星胶定向验证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27">
              <w:r>
                <w:rPr>
                  <w:color w:val="24476A"/>
                  <w:rFonts w:ascii="Calibri" w:eastAsia="Noto Sans CJK SC"/>
                  <w:sz w:val="18"/>
                </w:rPr>
                <w:t>GSE237718</w:t>
              </w:r>
            </w:hyperlink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29AD＋27对照；颞叶皮层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10x 3′v3；跨脑区验证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28">
              <w:r>
                <w:rPr>
                  <w:color w:val="24476A"/>
                  <w:rFonts w:ascii="Calibri" w:eastAsia="Noto Sans CJK SC"/>
                  <w:sz w:val="18"/>
                </w:rPr>
                <w:t>SRP456327</w:t>
              </w:r>
            </w:hyperlink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6AD＋6对照；DLPFC BA9/46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ONT PromethION，poly(A)富集PCR-cDNA；转录结构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29">
              <w:r>
                <w:rPr>
                  <w:color w:val="24476A"/>
                  <w:rFonts w:ascii="Calibri" w:eastAsia="Noto Sans CJK SC"/>
                  <w:sz w:val="18"/>
                </w:rPr>
                <w:t>GSE282551</w:t>
              </w:r>
            </w:hyperlink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16NC＋14精神分裂症；DLPFC BA8/9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PacBio Sequel II/IIe Iso-Seq；转录结构补充</w:t>
            </w:r>
          </w:p>
        </w:tc>
      </w:tr>
    </w:tbl>
    <w:p>
      <w:pPr>
        <w:spacing w:after="0" w:line="120" w:lineRule="auto"/>
      </w:pPr>
      <w:r>
        <w:rPr>
          <w:sz w:val="6"/>
        </w:rPr>
      </w:r>
    </w:p>
    <w:p>
      <w:r>
        <w:rPr>
          <w:b w:val="0"/>
        </w:rPr>
        <w:t>GSE183068与GSE310554的人数指拟纳入的子集，不代表项目总人数。GSE268599的32位先按全项目口径记录。所有验证队列还需核对与主队列是否共享供体。</w:t>
      </w:r>
    </w:p>
    <w:p>
      <w:pPr>
        <w:pStyle w:val="Heading1"/>
        <w:pageBreakBefore/>
      </w:pPr>
      <w:r>
        <w:t>附表二 遗传资源与主要方法入口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41"/>
        <w:gridCol w:w="3572"/>
        <w:gridCol w:w="4025"/>
      </w:tblGrid>
      <w:tr>
        <w:trPr>
          <w:cantSplit/>
          <w:tblHeader/>
        </w:trPr>
        <w:tc>
          <w:tcPr>
            <w:tcW w:type="dxa" w:w="2041"/>
            <w:vAlign w:val="center"/>
            <w:shd w:fill="E6EDF3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  <w:jc w:val="center"/>
            </w:pPr>
            <w:r>
              <w:rPr>
                <w:b/>
                <w:sz w:val="18"/>
              </w:rPr>
              <w:t>数据资源</w:t>
            </w:r>
          </w:p>
        </w:tc>
        <w:tc>
          <w:tcPr>
            <w:tcW w:type="dxa" w:w="3572"/>
            <w:vAlign w:val="center"/>
            <w:shd w:fill="E6EDF3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  <w:jc w:val="center"/>
            </w:pPr>
            <w:r>
              <w:rPr>
                <w:b/>
                <w:sz w:val="18"/>
              </w:rPr>
              <w:t>提供的内容</w:t>
            </w:r>
          </w:p>
        </w:tc>
        <w:tc>
          <w:tcPr>
            <w:tcW w:type="dxa" w:w="4025"/>
            <w:vAlign w:val="center"/>
            <w:shd w:fill="E6EDF3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  <w:jc w:val="center"/>
            </w:pPr>
            <w:r>
              <w:rPr>
                <w:b/>
                <w:sz w:val="18"/>
              </w:rPr>
              <w:t>计划用途与当前限制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30">
              <w:r>
                <w:rPr>
                  <w:color w:val="24476A"/>
                  <w:rFonts w:ascii="Calibri" w:eastAsia="Noto Sans CJK SC"/>
                  <w:sz w:val="18"/>
                </w:rPr>
                <w:t>CommonMind模型资源</w:t>
              </w:r>
            </w:hyperlink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DLPFC的HERV/gene表达预测权重及配套参考资源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FUSION rTWAS、条件分析和FOCUS；仅适用于已有可用模型且能匹配到本研究定义的位点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13">
              <w:r>
                <w:rPr>
                  <w:color w:val="24476A"/>
                  <w:rFonts w:ascii="Calibri" w:eastAsia="Noto Sans CJK SC"/>
                  <w:sz w:val="18"/>
                </w:rPr>
                <w:t>GTEx SERVE</w:t>
              </w:r>
            </w:hyperlink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hervRNA注释、cis-ervQTL结果及补充表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注释对照；完整区域逐SNP统计取得后再开展共定位/SMR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31">
              <w:r>
                <w:rPr>
                  <w:color w:val="24476A"/>
                  <w:rFonts w:ascii="Calibri" w:eastAsia="Noto Sans CJK SC"/>
                  <w:sz w:val="18"/>
                </w:rPr>
                <w:t>AD GWAS GCST90027158</w:t>
              </w:r>
            </w:hyperlink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AD及相关痴呆GWAS荟萃汇总统计，包括代理病例来源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rTWAS和QTL整合的疾病端输入；记录原研究表型口径，不能等同于本项目病理确诊AD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32">
              <w:r>
                <w:rPr>
                  <w:color w:val="24476A"/>
                  <w:rFonts w:ascii="Calibri" w:eastAsia="Noto Sans CJK SC"/>
                  <w:sz w:val="18"/>
                </w:rPr>
                <w:t>SingleBrain</w:t>
              </w:r>
            </w:hyperlink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多队列、细胞类型分辨的gene cis-eQTL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宿主/邻近gene的遗传支持与替代解释；不是HERV eQTL资源</w:t>
            </w:r>
          </w:p>
        </w:tc>
      </w:tr>
    </w:tbl>
    <w:p>
      <w:pPr>
        <w:spacing w:after="0" w:line="120" w:lineRule="auto"/>
      </w:pPr>
      <w:r>
        <w:rPr>
          <w:sz w:val="6"/>
        </w:rPr>
      </w:r>
    </w:p>
    <w:p>
      <w:r>
        <w:rPr>
          <w:b w:val="0"/>
        </w:rPr>
        <w:t>HERVarium已归入正文的注释资源部分，因为它提供LTR结构和调控潜力信息，不提供人群层面的HERV QTL。</w:t>
      </w:r>
    </w:p>
    <w:p>
      <w:r>
        <w:rPr>
          <w:b w:val="0"/>
        </w:rPr>
        <w:t>下面保留必要的方法入口，方便讨论后选型；不需要在proposal阶段同时使用所有备选软件。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41"/>
        <w:gridCol w:w="3572"/>
        <w:gridCol w:w="4025"/>
      </w:tblGrid>
      <w:tr>
        <w:trPr>
          <w:cantSplit/>
          <w:tblHeader/>
        </w:trPr>
        <w:tc>
          <w:tcPr>
            <w:tcW w:type="dxa" w:w="2041"/>
            <w:vAlign w:val="center"/>
            <w:shd w:fill="E6EDF3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  <w:jc w:val="center"/>
            </w:pPr>
            <w:r>
              <w:rPr>
                <w:b/>
                <w:sz w:val="18"/>
              </w:rPr>
              <w:t>分析问题</w:t>
            </w:r>
          </w:p>
        </w:tc>
        <w:tc>
          <w:tcPr>
            <w:tcW w:type="dxa" w:w="3572"/>
            <w:vAlign w:val="center"/>
            <w:shd w:fill="E6EDF3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  <w:jc w:val="center"/>
            </w:pPr>
            <w:r>
              <w:rPr>
                <w:b/>
                <w:sz w:val="18"/>
              </w:rPr>
              <w:t>拟用方法</w:t>
            </w:r>
          </w:p>
        </w:tc>
        <w:tc>
          <w:tcPr>
            <w:tcW w:type="dxa" w:w="4025"/>
            <w:vAlign w:val="center"/>
            <w:shd w:fill="E6EDF3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  <w:jc w:val="center"/>
            </w:pPr>
            <w:r>
              <w:rPr>
                <w:b/>
                <w:sz w:val="18"/>
              </w:rPr>
              <w:t>选择理由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单核HERV定量</w:t>
            </w:r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16">
              <w:r>
                <w:rPr>
                  <w:color w:val="24476A"/>
                  <w:rFonts w:ascii="Calibri" w:eastAsia="Noto Sans CJK SC"/>
                  <w:sz w:val="18"/>
                </w:rPr>
                <w:t>Stellarscope及单细胞TE图谱</w:t>
              </w:r>
            </w:hyperlink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处理单细胞条形码、UMI与重复序列多重比对；参考其基因/TE共享计数处理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供体级差异</w:t>
            </w:r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33">
              <w:r>
                <w:rPr>
                  <w:color w:val="24476A"/>
                  <w:rFonts w:ascii="Calibri" w:eastAsia="Noto Sans CJK SC"/>
                  <w:sz w:val="18"/>
                </w:rPr>
                <w:t>limma-voom</w:t>
              </w:r>
            </w:hyperlink>
            <w:r>
              <w:rPr>
                <w:b w:val="0"/>
                <w:sz w:val="18"/>
              </w:rPr>
              <w:t>；metafor</w:t>
            </w:r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每个队列先估计效应，再比较并汇总跨队列证据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转录本结构</w:t>
            </w:r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34">
              <w:r>
                <w:rPr>
                  <w:color w:val="24476A"/>
                  <w:rFonts w:ascii="Calibri" w:eastAsia="Noto Sans CJK SC"/>
                  <w:sz w:val="18"/>
                </w:rPr>
                <w:t>bambu</w:t>
              </w:r>
            </w:hyperlink>
            <w:r>
              <w:rPr>
                <w:b w:val="0"/>
                <w:sz w:val="18"/>
              </w:rPr>
              <w:t>、</w:t>
            </w:r>
            <w:hyperlink r:id="rId35">
              <w:r>
                <w:rPr>
                  <w:color w:val="24476A"/>
                  <w:rFonts w:ascii="Calibri" w:eastAsia="Noto Sans CJK SC"/>
                  <w:sz w:val="18"/>
                </w:rPr>
                <w:t>SQANTI3</w:t>
              </w:r>
            </w:hyperlink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重建长读长转录本，并检查剪接与结构质量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染色质与TF</w:t>
            </w:r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36">
              <w:r>
                <w:rPr>
                  <w:color w:val="24476A"/>
                  <w:rFonts w:ascii="Calibri" w:eastAsia="Noto Sans CJK SC"/>
                  <w:sz w:val="18"/>
                </w:rPr>
                <w:t>Signac</w:t>
              </w:r>
            </w:hyperlink>
            <w:r>
              <w:rPr>
                <w:b w:val="0"/>
                <w:sz w:val="18"/>
              </w:rPr>
              <w:t>、</w:t>
            </w:r>
            <w:hyperlink r:id="rId37">
              <w:r>
                <w:rPr>
                  <w:color w:val="24476A"/>
                  <w:rFonts w:ascii="Calibri" w:eastAsia="Noto Sans CJK SC"/>
                  <w:sz w:val="18"/>
                </w:rPr>
                <w:t>chromVAR</w:t>
              </w:r>
            </w:hyperlink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分析开放区域及motif相关活性，围绕候选解释调控变化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遗传整合</w:t>
            </w:r>
          </w:p>
        </w:tc>
        <w:tc>
          <w:tcPr>
            <w:tcW w:type="dxa" w:w="3572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hyperlink r:id="rId38">
              <w:r>
                <w:rPr>
                  <w:color w:val="24476A"/>
                  <w:rFonts w:ascii="Calibri" w:eastAsia="Noto Sans CJK SC"/>
                  <w:sz w:val="18"/>
                </w:rPr>
                <w:t>rTWAS教程</w:t>
              </w:r>
            </w:hyperlink>
            <w:r>
              <w:rPr>
                <w:b w:val="0"/>
                <w:sz w:val="18"/>
              </w:rPr>
              <w:t>、</w:t>
            </w:r>
            <w:hyperlink r:id="rId39">
              <w:r>
                <w:rPr>
                  <w:color w:val="24476A"/>
                  <w:rFonts w:ascii="Calibri" w:eastAsia="Noto Sans CJK SC"/>
                  <w:sz w:val="18"/>
                </w:rPr>
                <w:t>coloc</w:t>
              </w:r>
            </w:hyperlink>
            <w:r>
              <w:rPr>
                <w:b w:val="0"/>
                <w:sz w:val="18"/>
              </w:rPr>
              <w:t>、</w:t>
            </w:r>
            <w:hyperlink r:id="rId40">
              <w:r>
                <w:rPr>
                  <w:color w:val="24476A"/>
                  <w:rFonts w:ascii="Calibri" w:eastAsia="Noto Sans CJK SC"/>
                  <w:sz w:val="18"/>
                </w:rPr>
                <w:t>SMR</w:t>
              </w:r>
            </w:hyperlink>
          </w:p>
        </w:tc>
        <w:tc>
          <w:tcPr>
            <w:tcW w:type="dxa" w:w="4025"/>
            <w:vAlign w:val="center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0" w:line="271" w:lineRule="auto"/>
            </w:pPr>
            <w:r>
              <w:rPr>
                <w:b w:val="0"/>
                <w:sz w:val="18"/>
              </w:rPr>
              <w:t>用已有模型检验遗传关联，并在数据条件满足时比较共享信号</w:t>
            </w:r>
          </w:p>
        </w:tc>
      </w:tr>
    </w:tbl>
    <w:p>
      <w:pPr>
        <w:spacing w:after="0" w:line="120" w:lineRule="auto"/>
      </w:pPr>
      <w:r>
        <w:rPr>
          <w:sz w:val="6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7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导师讨论稿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sz w:val="16"/>
      </w:rPr>
      <w:t>AD皮层HERV研究计划书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95" w:lineRule="auto" w:after="120"/>
      <w:autoSpaceDE w:val="0"/>
      <w:autoSpaceDN w:val="0"/>
    </w:pPr>
    <w:rPr>
      <w:rFonts w:ascii="Calibri" w:hAnsi="Calibri" w:eastAsia="Noto Sans CJK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  <w:autoSpaceDE w:val="0"/>
      <w:autoSpaceDN w:val="0"/>
    </w:pPr>
    <w:rPr>
      <w:rFonts w:ascii="Calibri" w:hAnsi="Calibri" w:eastAsia="Noto Sans CJK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  <w:autoSpaceDE w:val="0"/>
      <w:autoSpaceDN w:val="0"/>
    </w:pPr>
    <w:rPr>
      <w:rFonts w:ascii="Calibri" w:hAnsi="Calibri" w:eastAsia="Noto Sans CJK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69" w:lineRule="auto" w:before="0"/>
      <w:contextualSpacing/>
      <w:autoSpaceDE w:val="0"/>
      <w:autoSpaceDN w:val="0"/>
    </w:pPr>
    <w:rPr>
      <w:rFonts w:ascii="Calibri" w:hAnsi="Calibri" w:eastAsia="Noto Sans CJK SC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80"/>
      <w:autoSpaceDE w:val="0"/>
      <w:autoSpaceDN w:val="0"/>
    </w:pPr>
    <w:rPr>
      <w:rFonts w:ascii="Calibri" w:hAnsi="Calibri" w:eastAsia="Noto Sans CJK SC"/>
      <w:i/>
      <w:iCs/>
      <w:color w:val="00000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github.com/mlbendall/telescope_annotation_db" TargetMode="External"/><Relationship Id="rId12" Type="http://schemas.openxmlformats.org/officeDocument/2006/relationships/hyperlink" Target="https://www.repeatmasker.org/" TargetMode="External"/><Relationship Id="rId13" Type="http://schemas.openxmlformats.org/officeDocument/2006/relationships/hyperlink" Target="https://doi.org/10.1186/s13059-022-02804-w" TargetMode="External"/><Relationship Id="rId14" Type="http://schemas.openxmlformats.org/officeDocument/2006/relationships/hyperlink" Target="https://github.com/janky-yz/SERVE" TargetMode="External"/><Relationship Id="rId15" Type="http://schemas.openxmlformats.org/officeDocument/2006/relationships/hyperlink" Target="https://github.com/funcgen/herv-regulatory-map" TargetMode="External"/><Relationship Id="rId16" Type="http://schemas.openxmlformats.org/officeDocument/2006/relationships/hyperlink" Target="https://pmc.ncbi.nlm.nih.gov/articles/PMC12296447/" TargetMode="External"/><Relationship Id="rId17" Type="http://schemas.openxmlformats.org/officeDocument/2006/relationships/hyperlink" Target="https://doi.org/10.1038/s41467-024-48153-z" TargetMode="External"/><Relationship Id="rId18" Type="http://schemas.openxmlformats.org/officeDocument/2006/relationships/hyperlink" Target="https://www.ncbi.nlm.nih.gov/geo/query/acc.cgi?acc=GSE157827" TargetMode="External"/><Relationship Id="rId19" Type="http://schemas.openxmlformats.org/officeDocument/2006/relationships/hyperlink" Target="https://www.ncbi.nlm.nih.gov/geo/query/acc.cgi?acc=GSE174367" TargetMode="External"/><Relationship Id="rId20" Type="http://schemas.openxmlformats.org/officeDocument/2006/relationships/hyperlink" Target="https://www.ncbi.nlm.nih.gov/geo/query/acc.cgi?acc=GSE214979" TargetMode="External"/><Relationship Id="rId21" Type="http://schemas.openxmlformats.org/officeDocument/2006/relationships/hyperlink" Target="https://www.ncbi.nlm.nih.gov/geo/query/acc.cgi?acc=GSE183068" TargetMode="External"/><Relationship Id="rId22" Type="http://schemas.openxmlformats.org/officeDocument/2006/relationships/hyperlink" Target="https://www.ncbi.nlm.nih.gov/geo/query/acc.cgi?acc=GSE310554" TargetMode="External"/><Relationship Id="rId23" Type="http://schemas.openxmlformats.org/officeDocument/2006/relationships/hyperlink" Target="https://www.ncbi.nlm.nih.gov/geo/query/acc.cgi?acc=GSE303823" TargetMode="External"/><Relationship Id="rId24" Type="http://schemas.openxmlformats.org/officeDocument/2006/relationships/hyperlink" Target="https://www.ncbi.nlm.nih.gov/geo/query/acc.cgi?acc=GSE222494" TargetMode="External"/><Relationship Id="rId25" Type="http://schemas.openxmlformats.org/officeDocument/2006/relationships/hyperlink" Target="https://www.ncbi.nlm.nih.gov/geo/query/acc.cgi?acc=GSE263468" TargetMode="External"/><Relationship Id="rId26" Type="http://schemas.openxmlformats.org/officeDocument/2006/relationships/hyperlink" Target="https://www.ncbi.nlm.nih.gov/geo/query/acc.cgi?acc=GSE268599" TargetMode="External"/><Relationship Id="rId27" Type="http://schemas.openxmlformats.org/officeDocument/2006/relationships/hyperlink" Target="https://www.ncbi.nlm.nih.gov/geo/query/acc.cgi?acc=GSE237718" TargetMode="External"/><Relationship Id="rId28" Type="http://schemas.openxmlformats.org/officeDocument/2006/relationships/hyperlink" Target="https://trace.ncbi.nlm.nih.gov/Traces/study/?acc=SRP456327" TargetMode="External"/><Relationship Id="rId29" Type="http://schemas.openxmlformats.org/officeDocument/2006/relationships/hyperlink" Target="https://www.ncbi.nlm.nih.gov/geo/query/acc.cgi?acc=GSE282551" TargetMode="External"/><Relationship Id="rId30" Type="http://schemas.openxmlformats.org/officeDocument/2006/relationships/hyperlink" Target="https://doi.org/10.18742/22179655" TargetMode="External"/><Relationship Id="rId31" Type="http://schemas.openxmlformats.org/officeDocument/2006/relationships/hyperlink" Target="https://www.ebi.ac.uk/gwas/studies/GCST90027158" TargetMode="External"/><Relationship Id="rId32" Type="http://schemas.openxmlformats.org/officeDocument/2006/relationships/hyperlink" Target="https://doi.org/10.1038/s41588-026-02541-x" TargetMode="External"/><Relationship Id="rId33" Type="http://schemas.openxmlformats.org/officeDocument/2006/relationships/hyperlink" Target="https://bioconductor.org/packages/release/bioc/vignettes/limma/inst/doc/usersguide.pdf" TargetMode="External"/><Relationship Id="rId34" Type="http://schemas.openxmlformats.org/officeDocument/2006/relationships/hyperlink" Target="https://github.com/GoekeLab/bambu" TargetMode="External"/><Relationship Id="rId35" Type="http://schemas.openxmlformats.org/officeDocument/2006/relationships/hyperlink" Target="https://github.com/ConesaLab/SQANTI3" TargetMode="External"/><Relationship Id="rId36" Type="http://schemas.openxmlformats.org/officeDocument/2006/relationships/hyperlink" Target="https://stuartlab.org/signac/" TargetMode="External"/><Relationship Id="rId37" Type="http://schemas.openxmlformats.org/officeDocument/2006/relationships/hyperlink" Target="https://greenleaflab.github.io/chromVAR/" TargetMode="External"/><Relationship Id="rId38" Type="http://schemas.openxmlformats.org/officeDocument/2006/relationships/hyperlink" Target="https://rodrigoduarte88.github.io/neuro_rTWAS/" TargetMode="External"/><Relationship Id="rId39" Type="http://schemas.openxmlformats.org/officeDocument/2006/relationships/hyperlink" Target="https://chr1swallace.github.io/coloc/" TargetMode="External"/><Relationship Id="rId40" Type="http://schemas.openxmlformats.org/officeDocument/2006/relationships/hyperlink" Target="https://yanglab.westlake.edu.cn/software/sm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阿尔茨海默病皮层中HERV相关转录本的细胞特异性改变与调控机制研究</dc:title>
  <dc:subject>基于公开多组学数据的研究计划书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