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阿尔茨海默病皮层中HERV相关转录本的细胞特异性改变与调控机制研究</w:t>
      </w:r>
    </w:p>
    <w:p>
      <w:pPr>
        <w:pStyle w:val="Subtitle"/>
      </w:pPr>
      <w:r>
        <w:t>研究计划书　审核整合版　2026年9月17日</w:t>
      </w:r>
    </w:p>
    <w:p>
      <w:r>
        <w:rPr>
          <w:b w:val="0"/>
        </w:rPr>
        <w:t>本研究以公开人脑数据为基础，鉴定阿尔茨海默病（Alzheimer’s disease，AD）中可重复改变的HERV位点，解析其对应的转录本结构及细胞状态，并结合染色质可及性、转录因子和公开遗传资源筛选具有机制研究价值的候选。核心分析不以获得SEA-AD受控原始数据或个体基因型为前提。本文将可立即实施的工作与依赖额外数据的扩展分析分开，逐项明确方法、输出和备选路线。</w:t>
      </w:r>
    </w:p>
    <w:p>
      <w:pPr>
        <w:pStyle w:val="Heading1"/>
      </w:pPr>
      <w:r>
        <w:t>一 研究背景与科学问题</w:t>
      </w:r>
    </w:p>
    <w:p>
      <w:r>
        <w:rPr>
          <w:b w:val="0"/>
        </w:rPr>
        <w:t>HERV来源序列既可能形成相对独立的RNA，也可能参与宿主基因的启动、剪接或转录终止。因此，某个HERV区域在AD中出现更多RNA读段，并不能直接说明该位点发生了独立转录激活；它也可能反映宿主基因前体RNA增加、转录读穿、嵌合转录本变化，或具有不同HERV表达水平的细胞亚群比例改变。短读长的多重比对和单核RNA的内含子信号进一步增加了解释难度。</w:t>
      </w:r>
    </w:p>
    <w:p>
      <w:r>
        <w:rPr>
          <w:b w:val="0"/>
        </w:rPr>
        <w:t>前期本科研究已经基于GSE157827和GSE174367建立STARsolo、Stellarscope及细胞注释流程，获得不同细胞类型中的HERV表达变化和共表达线索。新阶段拟将分析重点推进到三个相互衔接的问题：哪些位点的疾病关联能以供体为独立重复在不同队列中复现；这些位点实际产生何种RNA，其变化发生于哪些细胞状态；哪些局部转录、染色质和遗传证据能够解释其变化。已有结果作为候选和流程基础，仍需按统一的供体级统计框架重新评价。</w:t>
      </w:r>
    </w:p>
    <w:p>
      <w:r>
        <w:rPr>
          <w:b w:val="0"/>
        </w:rPr>
        <w:t>本研究的工作假设是，AD相关HERV信号包含多种来源：一部分与宿主转录本结构及使用比例有关，一部分伴随LTR局部开放和特定TF程序变化，另一些主要标记疾病相关细胞状态。它们可能共存于同一位点，不预设为互斥的机制类别。预期贡献是形成“位点表达—转录结构—细胞状态—调控关联—遗传支持”的可核查证据体系，而非仅扩大差异表达列表。</w:t>
      </w:r>
    </w:p>
    <w:p>
      <w:pPr>
        <w:pStyle w:val="Heading1"/>
        <w:pageBreakBefore/>
      </w:pPr>
      <w:r>
        <w:t>二 数据设计与研究范围</w:t>
      </w:r>
    </w:p>
    <w:p>
      <w:r>
        <w:rPr>
          <w:b w:val="0"/>
        </w:rPr>
        <w:t>数据用途在分析前确定。前三个前额叶队列用于病例对照发现，GSE263468的BA9样本用于病理分层发现；额叶小队列和颞叶队列承担独立复现。长读长负责结构发现与复核，bulk RNA负责结构特异信号的群体定量，ATAC和Multiome提供调控关联。各数据集入口及主要用途汇总如下；样本数不等同于去重后、质控后、每个细胞类型实际可用的供体数。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19"/>
        <w:gridCol w:w="1474"/>
        <w:gridCol w:w="935"/>
        <w:gridCol w:w="1332"/>
        <w:gridCol w:w="2239"/>
        <w:gridCol w:w="1871"/>
      </w:tblGrid>
      <w:tr>
        <w:trPr>
          <w:cantSplit/>
          <w:tblHeader/>
        </w:trPr>
        <w:tc>
          <w:tcPr>
            <w:tcW w:type="dxa" w:w="1219"/>
            <w:vAlign w:val="center"/>
            <w:shd w:fill="E6EDF3"/>
            <w:tcMar>
              <w:top w:w="80" w:type="dxa"/>
              <w:bottom w:w="80" w:type="dxa"/>
              <w:left w:w="80" w:type="dxa"/>
              <w:right w:w="80" w:type="dxa"/>
            </w:tcMar>
          </w:tcPr>
          <w:p>
            <w:pPr>
              <w:keepNext w:val="0"/>
              <w:spacing w:after="0" w:line="271" w:lineRule="auto"/>
              <w:jc w:val="center"/>
            </w:pPr>
            <w:r>
              <w:rPr>
                <w:b/>
                <w:sz w:val="17"/>
              </w:rPr>
              <w:t>数据集</w:t>
            </w:r>
          </w:p>
        </w:tc>
        <w:tc>
          <w:tcPr>
            <w:tcW w:type="dxa" w:w="1474"/>
            <w:vAlign w:val="center"/>
            <w:shd w:fill="E6EDF3"/>
            <w:tcMar>
              <w:top w:w="80" w:type="dxa"/>
              <w:bottom w:w="80" w:type="dxa"/>
              <w:left w:w="80" w:type="dxa"/>
              <w:right w:w="80" w:type="dxa"/>
            </w:tcMar>
          </w:tcPr>
          <w:p>
            <w:pPr>
              <w:keepNext w:val="0"/>
              <w:spacing w:after="0" w:line="271" w:lineRule="auto"/>
              <w:jc w:val="center"/>
            </w:pPr>
            <w:r>
              <w:rPr>
                <w:b/>
                <w:sz w:val="17"/>
              </w:rPr>
              <w:t>样本量</w:t>
            </w:r>
          </w:p>
        </w:tc>
        <w:tc>
          <w:tcPr>
            <w:tcW w:type="dxa" w:w="935"/>
            <w:vAlign w:val="center"/>
            <w:shd w:fill="E6EDF3"/>
            <w:tcMar>
              <w:top w:w="80" w:type="dxa"/>
              <w:bottom w:w="80" w:type="dxa"/>
              <w:left w:w="80" w:type="dxa"/>
              <w:right w:w="80" w:type="dxa"/>
            </w:tcMar>
          </w:tcPr>
          <w:p>
            <w:pPr>
              <w:keepNext w:val="0"/>
              <w:spacing w:after="0" w:line="271" w:lineRule="auto"/>
              <w:jc w:val="center"/>
            </w:pPr>
            <w:r>
              <w:rPr>
                <w:b/>
                <w:sz w:val="17"/>
              </w:rPr>
              <w:t>脑区</w:t>
            </w:r>
          </w:p>
        </w:tc>
        <w:tc>
          <w:tcPr>
            <w:tcW w:type="dxa" w:w="1332"/>
            <w:vAlign w:val="center"/>
            <w:shd w:fill="E6EDF3"/>
            <w:tcMar>
              <w:top w:w="80" w:type="dxa"/>
              <w:bottom w:w="80" w:type="dxa"/>
              <w:left w:w="80" w:type="dxa"/>
              <w:right w:w="80" w:type="dxa"/>
            </w:tcMar>
          </w:tcPr>
          <w:p>
            <w:pPr>
              <w:keepNext w:val="0"/>
              <w:spacing w:after="0" w:line="271" w:lineRule="auto"/>
              <w:jc w:val="center"/>
            </w:pPr>
            <w:r>
              <w:rPr>
                <w:b/>
                <w:sz w:val="17"/>
              </w:rPr>
              <w:t>建库方法</w:t>
            </w:r>
          </w:p>
        </w:tc>
        <w:tc>
          <w:tcPr>
            <w:tcW w:type="dxa" w:w="2239"/>
            <w:vAlign w:val="center"/>
            <w:shd w:fill="E6EDF3"/>
            <w:tcMar>
              <w:top w:w="80" w:type="dxa"/>
              <w:bottom w:w="80" w:type="dxa"/>
              <w:left w:w="80" w:type="dxa"/>
              <w:right w:w="80" w:type="dxa"/>
            </w:tcMar>
          </w:tcPr>
          <w:p>
            <w:pPr>
              <w:keepNext w:val="0"/>
              <w:spacing w:after="0" w:line="271" w:lineRule="auto"/>
              <w:jc w:val="center"/>
            </w:pPr>
            <w:r>
              <w:rPr>
                <w:b/>
                <w:sz w:val="17"/>
              </w:rPr>
              <w:t>包括哪些数据</w:t>
            </w:r>
          </w:p>
        </w:tc>
        <w:tc>
          <w:tcPr>
            <w:tcW w:type="dxa" w:w="1871"/>
            <w:vAlign w:val="center"/>
            <w:shd w:fill="E6EDF3"/>
            <w:tcMar>
              <w:top w:w="80" w:type="dxa"/>
              <w:bottom w:w="80" w:type="dxa"/>
              <w:left w:w="80" w:type="dxa"/>
              <w:right w:w="80" w:type="dxa"/>
            </w:tcMar>
          </w:tcPr>
          <w:p>
            <w:pPr>
              <w:keepNext w:val="0"/>
              <w:spacing w:after="0" w:line="271" w:lineRule="auto"/>
              <w:jc w:val="center"/>
            </w:pPr>
            <w:r>
              <w:rPr>
                <w:b/>
                <w:sz w:val="17"/>
              </w:rPr>
              <w:t>用在分析中的哪个步骤</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1">
              <w:r>
                <w:rPr>
                  <w:color w:val="24476A"/>
                  <w:rFonts w:ascii="Calibri" w:eastAsia="Noto Sans CJK SC"/>
                  <w:sz w:val="17"/>
                </w:rPr>
                <w:t>GSE157827</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12AD＋9对照</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前额叶皮层</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10x 3′v3</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snRNA原始读段、表达矩阵及供体信息</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病例对照发现；与本科结果衔接</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2">
              <w:r>
                <w:rPr>
                  <w:color w:val="24476A"/>
                  <w:rFonts w:ascii="Calibri" w:eastAsia="Noto Sans CJK SC"/>
                  <w:sz w:val="17"/>
                </w:rPr>
                <w:t>GSE174367</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snRNA 11AD＋7对照；snATAC 12AD＋8对照；另有191份bulk文库</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单核以PFC为主；bulk包含多个脑区</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10x 3′v3；10x ATAC；SMARTer链特异total RNA</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snRNA、snATAC、bulk RNA及元数据</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表达发现、开放性分析、结构与表达复核</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3">
              <w:r>
                <w:rPr>
                  <w:color w:val="24476A"/>
                  <w:rFonts w:ascii="Calibri" w:eastAsia="Noto Sans CJK SC"/>
                  <w:sz w:val="17"/>
                </w:rPr>
                <w:t>GSE214979</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7AD＋8对照</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DLPFC</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10x Multiome ATAC＋Gene Expression</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同核RNA及ATAC原始数据、矩阵和元数据</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表达发现；配对多组学调控关联</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4">
              <w:r>
                <w:rPr>
                  <w:color w:val="24476A"/>
                  <w:rFonts w:ascii="Calibri" w:eastAsia="Noto Sans CJK SC"/>
                  <w:sz w:val="17"/>
                </w:rPr>
                <w:t>GSE263468</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全项目46位；BA9有42位，其中低病理17、中间10、高病理15</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BA9、BA7、BA17</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Drop-seq及10x 3′v2/v3；含All Nuclei与NeuN富集文库</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snRNA及供体、病理、平台、分选信息</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BA9病理分层发现；其余脑区作为扩展</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5">
              <w:r>
                <w:rPr>
                  <w:color w:val="24476A"/>
                  <w:rFonts w:ascii="Calibri" w:eastAsia="Noto Sans CJK SC"/>
                  <w:sz w:val="17"/>
                </w:rPr>
                <w:t>GSE268599</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全项目32位、146份区域样本；每脑区有效人数需单列</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EC、ITG、BA46、V2、V1</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去除NeuN阳性和OLIG2阳性核后进行10x snRNA</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星形胶质细胞富集的snRNA及病理信息</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按现行数据清单用于星形胶质细胞和多脑区验证</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6">
              <w:r>
                <w:rPr>
                  <w:color w:val="24476A"/>
                  <w:rFonts w:ascii="Calibri" w:eastAsia="Noto Sans CJK SC"/>
                  <w:sz w:val="17"/>
                </w:rPr>
                <w:t>GSE222494</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8散发AD＋8对照＋8PSEN1-E280A</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额叶皮层</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10x 3′v3.1</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snRNA及疾病分组</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散发AD/对照复现；遗传性AD单独扩展</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7">
              <w:r>
                <w:rPr>
                  <w:color w:val="24476A"/>
                  <w:rFonts w:ascii="Calibri" w:eastAsia="Noto Sans CJK SC"/>
                  <w:sz w:val="17"/>
                </w:rPr>
                <w:t>GSE147528</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10位供体；分脑区质控后人数另行核对</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额上回及内嗅皮层</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10x 3′v2</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snRNA、病理分期；部分临床资料需补充获取</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额叶病理相关复现；内嗅皮层扩展</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8">
              <w:r>
                <w:rPr>
                  <w:color w:val="24476A"/>
                  <w:rFonts w:ascii="Calibri" w:eastAsia="Noto Sans CJK SC"/>
                  <w:sz w:val="17"/>
                </w:rPr>
                <w:t>GSE237718</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29AD＋27对照</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颞叶皮层</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10x 3′v3</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snRNA、APOE及供体信息</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跨脑区独立复现</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19">
              <w:r>
                <w:rPr>
                  <w:color w:val="24476A"/>
                  <w:rFonts w:ascii="Calibri" w:eastAsia="Noto Sans CJK SC"/>
                  <w:sz w:val="17"/>
                </w:rPr>
                <w:t>SRP456327</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6AD＋6对照</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DLPFC BA9/46</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poly(A)富集PCR-cDNA；ONT PromethION</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深度长读长RNA及样本信息</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主结构发现；小样本AD差异仅作探索</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20">
              <w:r>
                <w:rPr>
                  <w:color w:val="24476A"/>
                  <w:rFonts w:ascii="Calibri" w:eastAsia="Noto Sans CJK SC"/>
                  <w:sz w:val="17"/>
                </w:rPr>
                <w:t>GSE282551</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16健康对照＋14精神分裂症，共30份</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DLPFC BA8/9</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PacBio Sequel II/IIe Iso-Seq</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长读长RNA及SQANTI3结构分类</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独立平台结构复核；不用于AD病例对照</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21">
              <w:r>
                <w:rPr>
                  <w:color w:val="24476A"/>
                  <w:rFonts w:ascii="Calibri" w:eastAsia="Noto Sans CJK SC"/>
                  <w:sz w:val="17"/>
                </w:rPr>
                <w:t>CommonMind HERV预测权重</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建模研究792位；欧洲祖源563位、非洲祖源229位</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DLPFC</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已有RNA及基因型构建的预测模型</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HERV和gene的FUSION/FOCUS权重与示例参考面板</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HERV rTWAS、条件分析及精细定位</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22">
              <w:r>
                <w:rPr>
                  <w:color w:val="24476A"/>
                  <w:rFonts w:ascii="Calibri" w:eastAsia="Noto Sans CJK SC"/>
                  <w:sz w:val="17"/>
                </w:rPr>
                <w:t>GTEx SERVE</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全研究686位、9466份RNA、42种组织；脑区人数不同</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含多个脑区</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bulk RNA组装及cis-ervQTL分析</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hervRNA注释、汇总补充表；完整逐SNP QTL统计需另行取得</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注释比对；条件具备后开展HERV共定位及SMR</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23">
              <w:r>
                <w:rPr>
                  <w:color w:val="24476A"/>
                  <w:rFonts w:ascii="Calibri" w:eastAsia="Noto Sans CJK SC"/>
                  <w:sz w:val="17"/>
                </w:rPr>
                <w:t>AD GWAS GCST90027158</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论文两阶段合计111326病例或代理病例、677663对照；各文件N按元数据</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不适用</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分型、填补及GWAS荟萃分析</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SNP风险效应、标准误、等位基因等summary</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rTWAS及条件性QTL整合的疾病端输入</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24">
              <w:r>
                <w:rPr>
                  <w:color w:val="24476A"/>
                  <w:rFonts w:ascii="Calibri" w:eastAsia="Noto Sans CJK SC"/>
                  <w:sz w:val="17"/>
                </w:rPr>
                <w:t>SingleBrain</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983位欧洲祖源供体、约580万个核</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多脑队列</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snRNA与基因型eQTL荟萃分析</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gene cis-eQTL及细胞类型信息；公开下载入口</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宿主或邻近gene的遗传关联和替代解释</w:t>
            </w:r>
          </w:p>
        </w:tc>
      </w:tr>
      <w:tr>
        <w:trPr>
          <w:cantSplit/>
        </w:trPr>
        <w:tc>
          <w:tcPr>
            <w:tcW w:type="dxa" w:w="1219"/>
            <w:vAlign w:val="center"/>
            <w:shd w:fill="FFFFFF"/>
            <w:tcMar>
              <w:top w:w="80" w:type="dxa"/>
              <w:bottom w:w="80" w:type="dxa"/>
              <w:left w:w="80" w:type="dxa"/>
              <w:right w:w="80" w:type="dxa"/>
            </w:tcMar>
          </w:tcPr>
          <w:p>
            <w:pPr>
              <w:keepNext w:val="0"/>
              <w:spacing w:after="0" w:line="271" w:lineRule="auto"/>
            </w:pPr>
            <w:hyperlink r:id="rId25">
              <w:r>
                <w:rPr>
                  <w:color w:val="24476A"/>
                  <w:rFonts w:ascii="Calibri" w:eastAsia="Noto Sans CJK SC"/>
                  <w:sz w:val="17"/>
                </w:rPr>
                <w:t>HERVarium LTR资源</w:t>
              </w:r>
            </w:hyperlink>
          </w:p>
        </w:tc>
        <w:tc>
          <w:tcPr>
            <w:tcW w:type="dxa" w:w="1474"/>
            <w:vAlign w:val="center"/>
            <w:shd w:fill="FFFFFF"/>
            <w:tcMar>
              <w:top w:w="80" w:type="dxa"/>
              <w:bottom w:w="80" w:type="dxa"/>
              <w:left w:w="80" w:type="dxa"/>
              <w:right w:w="80" w:type="dxa"/>
            </w:tcMar>
          </w:tcPr>
          <w:p>
            <w:pPr>
              <w:keepNext w:val="0"/>
              <w:spacing w:after="0" w:line="271" w:lineRule="auto"/>
            </w:pPr>
            <w:r>
              <w:rPr>
                <w:b w:val="0"/>
                <w:sz w:val="17"/>
              </w:rPr>
              <w:t>基因组注释资源</w:t>
            </w:r>
          </w:p>
        </w:tc>
        <w:tc>
          <w:tcPr>
            <w:tcW w:type="dxa" w:w="935"/>
            <w:vAlign w:val="center"/>
            <w:shd w:fill="FFFFFF"/>
            <w:tcMar>
              <w:top w:w="80" w:type="dxa"/>
              <w:bottom w:w="80" w:type="dxa"/>
              <w:left w:w="80" w:type="dxa"/>
              <w:right w:w="80" w:type="dxa"/>
            </w:tcMar>
          </w:tcPr>
          <w:p>
            <w:pPr>
              <w:keepNext w:val="0"/>
              <w:spacing w:after="0" w:line="271" w:lineRule="auto"/>
            </w:pPr>
            <w:r>
              <w:rPr>
                <w:b w:val="0"/>
                <w:sz w:val="17"/>
              </w:rPr>
              <w:t>不适用</w:t>
            </w:r>
          </w:p>
        </w:tc>
        <w:tc>
          <w:tcPr>
            <w:tcW w:type="dxa" w:w="1332"/>
            <w:vAlign w:val="center"/>
            <w:shd w:fill="FFFFFF"/>
            <w:tcMar>
              <w:top w:w="80" w:type="dxa"/>
              <w:bottom w:w="80" w:type="dxa"/>
              <w:left w:w="80" w:type="dxa"/>
              <w:right w:w="80" w:type="dxa"/>
            </w:tcMar>
          </w:tcPr>
          <w:p>
            <w:pPr>
              <w:keepNext w:val="0"/>
              <w:spacing w:after="0" w:line="271" w:lineRule="auto"/>
            </w:pPr>
            <w:r>
              <w:rPr>
                <w:b w:val="0"/>
                <w:sz w:val="17"/>
              </w:rPr>
              <w:t>RepeatMasker结构整理及序列分析</w:t>
            </w:r>
          </w:p>
        </w:tc>
        <w:tc>
          <w:tcPr>
            <w:tcW w:type="dxa" w:w="2239"/>
            <w:vAlign w:val="center"/>
            <w:shd w:fill="FFFFFF"/>
            <w:tcMar>
              <w:top w:w="80" w:type="dxa"/>
              <w:bottom w:w="80" w:type="dxa"/>
              <w:left w:w="80" w:type="dxa"/>
              <w:right w:w="80" w:type="dxa"/>
            </w:tcMar>
          </w:tcPr>
          <w:p>
            <w:pPr>
              <w:keepNext w:val="0"/>
              <w:spacing w:after="0" w:line="271" w:lineRule="auto"/>
            </w:pPr>
            <w:r>
              <w:rPr>
                <w:b w:val="0"/>
                <w:sz w:val="17"/>
              </w:rPr>
              <w:t>LTR类别、U3/R/U5、PBS/PPT、TF motif及置信标记</w:t>
            </w:r>
          </w:p>
        </w:tc>
        <w:tc>
          <w:tcPr>
            <w:tcW w:type="dxa" w:w="1871"/>
            <w:vAlign w:val="center"/>
            <w:shd w:fill="FFFFFF"/>
            <w:tcMar>
              <w:top w:w="80" w:type="dxa"/>
              <w:bottom w:w="80" w:type="dxa"/>
              <w:left w:w="80" w:type="dxa"/>
              <w:right w:w="80" w:type="dxa"/>
            </w:tcMar>
          </w:tcPr>
          <w:p>
            <w:pPr>
              <w:keepNext w:val="0"/>
              <w:spacing w:after="0" w:line="271" w:lineRule="auto"/>
            </w:pPr>
            <w:r>
              <w:rPr>
                <w:b w:val="0"/>
                <w:sz w:val="17"/>
              </w:rPr>
              <w:t>HERV结构和调控潜力注释</w:t>
            </w:r>
          </w:p>
        </w:tc>
      </w:tr>
    </w:tbl>
    <w:p>
      <w:pPr>
        <w:spacing w:after="0" w:line="120" w:lineRule="auto"/>
      </w:pPr>
      <w:r>
        <w:rPr>
          <w:sz w:val="6"/>
        </w:rPr>
      </w:r>
    </w:p>
    <w:p>
      <w:r>
        <w:rPr>
          <w:b/>
        </w:rPr>
        <w:t>供体数与比较口径。</w:t>
      </w:r>
      <w:r>
        <w:rPr>
          <w:b w:val="0"/>
        </w:rPr>
        <w:t>GSE157827、GSE174367和GSE214979按当前清单合计54位，即30AD与24对照；GSE263468的42位BA9供体加入后，形成名义上96位的前额叶研究框架。此次按GEO的subject字段去重，确认BA9低/中/高病理分别为17/10/15位，不能将全项目18/10/18的分组人数直接用于BA9。跨项目供体去重、每细胞类型核数和协变量完整性尚需下载后核定，因此不将96写为统一病例对照分析的最终样本量。[1]</w:t>
      </w:r>
    </w:p>
    <w:p>
      <w:r>
        <w:rPr>
          <w:b/>
        </w:rPr>
        <w:t>疾病诊断与病理分期。</w:t>
      </w:r>
      <w:r>
        <w:rPr>
          <w:b w:val="0"/>
        </w:rPr>
        <w:t>病例对照效应、Braak趋势和高低病理对比是不同估计目标。GSE263468还包含PART等诊断标签，不能把所有低病理供体自动定义为健康对照。主病例对照荟萃分析先限于可协调的诊断；该队列主要回答病理关联，若经临床和病理双重核查后能够定义可比AD/对照子集，再作为补充分析。中间病理样本不为凑病例数而强行归组。</w:t>
      </w:r>
    </w:p>
    <w:p>
      <w:r>
        <w:rPr>
          <w:b/>
        </w:rPr>
        <w:t>取样和独立性。</w:t>
      </w:r>
      <w:r>
        <w:rPr>
          <w:b w:val="0"/>
        </w:rPr>
        <w:t>GSE263468的NeuN富集文库不能用于估计未经富集的组织细胞比例；胶质细胞主分析优先使用All Nuclei文库。GSE268599用于星形胶质细胞定向验证，不计入全细胞类型统一发现样本量。GSE174367的191份bulk是文库数，须按供体和脑区整理；同一供体的RNA、ATAC或多脑区结果是互补证据，不重复计为独立复现。</w:t>
      </w:r>
    </w:p>
    <w:p>
      <w:r>
        <w:rPr>
          <w:b/>
        </w:rPr>
        <w:t>数据获取边界。</w:t>
      </w:r>
      <w:r>
        <w:rPr>
          <w:b w:val="0"/>
        </w:rPr>
        <w:t>位点级HERV重新定量需要FASTQ或保留足够比对、细胞条形码和UMI信息的BAM。普通gene矩阵仅支持基因与细胞状态辅助分析。SEA-AD及NG00174作为将来扩展，未获数据时不影响核心任务完成；同一批供体的不同脑区也不能称为独立供体复现。</w:t>
      </w:r>
    </w:p>
    <w:p>
      <w:pPr>
        <w:pStyle w:val="Heading1"/>
      </w:pPr>
      <w:r>
        <w:t>三 研究内容与技术路线</w:t>
      </w:r>
    </w:p>
    <w:p>
      <w:pPr>
        <w:pStyle w:val="Heading2"/>
      </w:pPr>
      <w:r>
        <w:t>1 统一位点注释并建立可信的表达矩阵</w:t>
      </w:r>
    </w:p>
    <w:p>
      <w:r>
        <w:rPr>
          <w:b w:val="0"/>
        </w:rPr>
        <w:t>以GRCh38和固定版本GENCODE为基准，保留本科使用的HERV_rmsk.hg38.v2作为位点级表达参考，先核对实际注释文件的坐标、链方向、区域组成和重复条目。该参考用于衔接已有表达结果，不代表其每条记录都是完整前病毒。另行建立与RepeatMasker LTR、HERVarium、SERVE hervRNA及长读长转录本的对应表，使用BEDTools或GenomicRanges做链特异区间比对，记录一对一、一对多和仅部分重叠关系。遗传资源中的表达表型与本研究位点若只共享一小段序列，不直接转移其QTL或TWAS结论。</w:t>
      </w:r>
    </w:p>
    <w:p>
      <w:r>
        <w:rPr>
          <w:b w:val="0"/>
        </w:rPr>
        <w:t>snRNA沿用STARsolo和Stellarscope。按10x或Drop-seq化学版本解析barcode与UMI，STARsolo保留足够多的候选比对及必要标签，Stellarscope进行多重比对感知的UMI处理和概率分配。通过少量代表文库试跑确定多重比对上限与计算资源，随后固定参数。基因定量保留单核内含子信息以支持细胞注释；HERV另设位点计数矩阵，不能因一个区域位于宿主基因内含子就预先全部删除。[2]</w:t>
      </w:r>
    </w:p>
    <w:p>
      <w:r>
        <w:rPr>
          <w:b w:val="0"/>
        </w:rPr>
        <w:t>Stellarscope的概率分配提供位点表达估计，但不等于证明每个UMI的来源。对关键候选同时记录唯一比对或独特边界支持、多重比对比例、可比对性和参数敏感性。若若干位点无法区分，则报告位点组或家族层面的信号，不继续对其中一个成员作精确调控解释。用于共表达时，额外识别gene与HERV重复计入的同一UMI或共享读段，提供去除共享片段后的敏感性结果，避免由同一分子被重复计数制造相关。概率分配的分组规则在队列间保持一致，不用AD/对照标签分别训练不同分配先验。</w:t>
      </w:r>
    </w:p>
    <w:p>
      <w:r>
        <w:rPr>
          <w:b w:val="0"/>
        </w:rPr>
        <w:t>Seurat用于每队列独立质控、聚类和标记基因注释，scDblFinder辅助识别双核；结合已发表标签统一主要细胞类型。Harmony用于低维表示和标签对齐，疾病检验始终回到原始计数。异常高HERV比例的核结合低复杂度、环境RNA、双核和宿主内含子比例综合检查，避免仅凭HERV高表达就删除潜在生物学状态。产出包括每队列的gene/HERV计数、细胞注释、供体元数据及位点对应表。</w:t>
      </w:r>
    </w:p>
    <w:p>
      <w:r>
        <w:rPr>
          <w:b w:val="0"/>
        </w:rPr>
        <w:t>若原始数据或条形码缺失，该文库退出位点级发现；若计算负担过大，先完成主要细胞类型与预先确定候选的试跑，再扩展全部位点。低丰度位点不通过表达插补制造疾病信号。</w:t>
      </w:r>
    </w:p>
    <w:p>
      <w:pPr>
        <w:pStyle w:val="Heading2"/>
      </w:pPr>
      <w:r>
        <w:t>2 在供体层面确定疾病关联与细胞状态来源</w:t>
      </w:r>
    </w:p>
    <w:p>
      <w:r>
        <w:rPr>
          <w:b w:val="0"/>
        </w:rPr>
        <w:t>将同一供体、同一脑区和同一细胞类型的UMI计数相加，形成pseudobulk。该操作直接从单核数据得到，不需要额外bulk RNA。根据每个比较的供体数和细胞数先过滤不足样本，再用edgeR的filterByExpr思想筛选可检验特征。预分析可将每供体每大细胞类型至少约30—50个核作为试行门槛，以不同门槛进行敏感性检查；它不是通用生物学阈值，最终规则须在检查分布后、疾病效应检验前固定。</w:t>
      </w:r>
    </w:p>
    <w:p>
      <w:r>
        <w:rPr>
          <w:b w:val="0"/>
        </w:rPr>
        <w:t>跨队列主效应拟采用TMM与limma-voom，在各队列分别拟合疾病状态及有限数量协变量，获得log2FC、模型标准误和置信区间；edgeR quasi-likelihood模型作为计数框架的敏感性分析。归一化以去重后的总分子量或可靠gene参考估计有效文库大小，避免仅以全部HERV计数之和作分母而掩盖整体变化，并检查归一化敏感性；没有外源标定时仍属于相对表达比较。年龄、性别及实验批次作为优先协变量，RIN、PMI和APOE根据可用性及自由度加入补充模型。小队列不机械塞入所有变量；缺失严重或疾病与批次完全混淆时，限制到可比子集并明确残余混杂。疾病诊断模型不默认同时调整Braak，以免把待研究的疾病相关过程一并扣除。[3]</w:t>
      </w:r>
    </w:p>
    <w:p>
      <w:r>
        <w:rPr>
          <w:b w:val="0"/>
        </w:rPr>
        <w:t>只对同一细胞类型、相近脑区和同一比较口径的效应使用metafor进行荟萃分析，报告合并效应、置信区间、异质性和逐队列剔除结果。随机效应方差在少量队列中不稳定，需并列查看各队列森林图和固定效应敏感性结果；不能从edgeR的P值机械反推出标准误。主发现可预设全体可检验HERV×细胞类型的BH-FDR＜0.05，并要求至少两个具有足够检测能力的队列方向一致。未通过表达过滤的队列记为“不可检验”，不作为零效应加入。独立复现对锁定候选集合重新控制多重检验，并报告方向和效应大小。</w:t>
      </w:r>
    </w:p>
    <w:p>
      <w:r>
        <w:rPr>
          <w:b w:val="0"/>
        </w:rPr>
        <w:t>GSE263468以低、中、高病理组为因子，先检验总体组间差异，再进行预设对比；有充分理由时另加Braak趋势模型。分期是横断面病理严重程度，不能解释为对同一人的纵向追踪。若某位点在额叶显著、颞叶不显著，先检查效应区间与检出能力；只有正式的效应差异或交互检验支持，才称脑区依赖，不能把“一个显著、一个不显著”直接写为脑区特异。</w:t>
      </w:r>
    </w:p>
    <w:p>
      <w:r>
        <w:rPr>
          <w:b w:val="0"/>
        </w:rPr>
        <w:t>为区分细胞内部表达改变与亚群比例变化，先依据普通基因和预先选定的人脑AD相关基因集定义细胞状态，利用Seurat亚群和UCell评分描述炎症、干扰素反应、脂质代谢、髓鞘及神经元应激等程序。再按供体×状态汇总HERV，检验状态内疾病效应，同时用供体级状态比例模型评价组成变化。不同分选策略之间不直接比较细胞比例；状态过少则合并为可解释的大类，或仅报告连续评分关联。</w:t>
      </w:r>
    </w:p>
    <w:p>
      <w:r>
        <w:rPr>
          <w:b w:val="0"/>
        </w:rPr>
        <w:t>HERV-high/low比较保留为探索性分析，在同一细胞类型内控制供体、测序深度和gene UMI数。MAST仅在明确考虑供体相关性、例如带供体随机截距时作为补充；简单逐核检验不提供正式疾病证据。不能用某HERV定义亚群后再以该HERV显著升高证明亚群特征。探索获得的marker需要在另一队列先定义状态，再检验HERV关联。</w:t>
      </w:r>
    </w:p>
    <w:p>
      <w:pPr>
        <w:pStyle w:val="Heading2"/>
      </w:pPr>
      <w:r>
        <w:t>3 用长读长确定结构并将结构特异证据投射回短读长</w:t>
      </w:r>
    </w:p>
    <w:p>
      <w:r>
        <w:rPr>
          <w:b w:val="0"/>
        </w:rPr>
        <w:t>本步骤的目标是把“基因组区域有读段”进一步落实为“哪些RNA分子包含该HERV”。以SRP456327的ONT数据建立结构目录，GSE282551的PacBio数据作为独立平台复核。既往SRP456327研究以12份深度长读长脑样本开展isoform发现，支持此规模用于结构探索，但不能保证低丰度HERV的充分覆盖。两套数据均有poly(A)/cDNA相关捕获偏倚，对未检出的RNA不作不存在的结论。[4]</w:t>
      </w:r>
    </w:p>
    <w:p>
      <w:r>
        <w:rPr>
          <w:b w:val="0"/>
        </w:rPr>
        <w:t>先确认下载的是原始subreads、CCS/HiFi、FLNC还是已处理FASTQ，避免重复处理。ONT检查长度、质量、引物和方向，PacBio在需要时使用平台的CCS、lima及Iso-Seq refine获得合适输入。随后按平台设置minimap2剪接比对，bambu进行多样本结构发现与定量，SQANTI3用于剪接位点、参考结构关系、内部引物结合和逆转录伪影等质控；选择少数关键结构用FLAIR独立复核。[5]</w:t>
      </w:r>
    </w:p>
    <w:p>
      <w:r>
        <w:rPr>
          <w:b w:val="0"/>
        </w:rPr>
        <w:t>流程需为HERV专门保留三类结构：未剪接或单外显子RNA、跨HERV与宿主基因的嵌合RNA，以及仅起止端不同的转录本。检查bambu所用版本的单外显子发现和端点合并规则，不以默认的多外显子结果代表全部HERV转录。bambu对仅TSS/TES不同的结构可能不能充分区分，故替代启动子和终止位点另行检查高质量长读段端点聚类；必要时采用能保留端点差异的FLAIR设置或候选级人工复核。ONT剪接边界反复不稳定时，可用ESPRESSO作候选级纠错备选，不必全量运行多套组装器。[4—6]</w:t>
      </w:r>
    </w:p>
    <w:p>
      <w:r>
        <w:rPr>
          <w:b w:val="0"/>
        </w:rPr>
        <w:t>分类采用两个独立维度。第一维是RNA与宿主基因的关系：相对独立转录、HERV–gene嵌合、宿主前体RNA或读穿相关、来源未定。第二维是HERV相关序列的覆盖范围：具有两端支持、内部或局部片段、solo LTR相关。同一HERV可以产生多条属于不同类别的isoform，不强制按位点只贴一个标签。DNA上的solo LTR、RNA仅覆盖LTR和ATAC仅显示LTR开放分别记录，不能混为同一种“LTR-only转录本”。</w:t>
      </w:r>
    </w:p>
    <w:p>
      <w:r>
        <w:rPr>
          <w:b w:val="0"/>
        </w:rPr>
        <w:t>对“putatively full-length”作分级定义。短读长在预期5′转录区、内部区和3′转录区的同链覆盖仅列为初筛线索；只有长分子或具有充分分子连接支持的结构覆盖预期范围，才能提升为推定全长证据。经典逆转录病毒RNA通常从5′LTR的R区起始，在3′LTR的R区附近加工终止，因此不要求RNA覆盖DNA两端完整U3–R–U5。对于退化HERV，具体边界按实际转录证据确定；剪接型与未剪接型分开标记。推定全长也不意味着编码完整、能产生病毒颗粒或具有逆转录转座能力。此前“去掉只在一端有reads”的要求用于全长候选筛选，不等于删除single-end RNA文库；10x的barcode/UMI读段与cDNA读段也不是两个独立的生物学转录本端点。[7]</w:t>
      </w:r>
    </w:p>
    <w:p>
      <w:r>
        <w:rPr>
          <w:b w:val="0"/>
        </w:rPr>
        <w:t>HERV→gene结构需有同链长分子或可信剪接连接；若5′端不完整，只称“5′HERV–gene嵌合候选”，不直接称替代启动子。启动或终止机制的加强证据包括可重复端点、适配的CAGE/RAMPAGE或poly(A)位点证据，以及后续RACE。对内部HERV外显子优先要求两侧剪接连接；只有内含子覆盖时列为宿主前体RNA相关。读穿需要上游转录延伸跨越通常终止区域的证据，普通外显子化与正常基因内含子覆盖不自动称为读穿。</w:t>
      </w:r>
    </w:p>
    <w:p>
      <w:r>
        <w:rPr>
          <w:b w:val="0"/>
        </w:rPr>
        <w:t>候选结构暂以至少3条高质量支持读段、尽量来自至少2位供体，或获得独立平台与短读长特异连接共同支持，作为进入重点复核的工作标准；PCR-cDNA中的多条read未必代表独立原始分子，须结合扩增和重复情况解释。SQANTI3分类或两种软件一致只是辅助，最终仍检查原始分子、唯一锚定序列、剪接链和潜在模板切换。达不到标准的结构保留“待验证”层级。</w:t>
      </w:r>
    </w:p>
    <w:p>
      <w:r>
        <w:rPr>
          <w:b w:val="0"/>
        </w:rPr>
        <w:t>在不使用疾病标签的前提下合并高可信结构，与GENCODE共同构建非冗余GTF，并锁定目录。bulk RNA用STAR two-pass重新比对，regtools提取剪接连接，链特异bigWig和IGV/pyGenomeTracks展示覆盖；Salmon在完整竞争转录本参考中作定量补充，对无法区分的isoform退回结构特异连接或独特片段计数。连接分析以read的CIGAR、两侧锚定及链方向为依据，普通区间重叠不能替代连接计数；LTR与内部区的连续转录也未必存在剪接junction。</w:t>
      </w:r>
    </w:p>
    <w:p>
      <w:r>
        <w:rPr>
          <w:b w:val="0"/>
        </w:rPr>
        <w:t>对于嵌合RNA，在宿主总表达变化之外，进一步检验结构特异连接相对宿主共有外显子或竞争连接的使用比例；覆盖充足时使用DEXSeq或DRIMSeq类使用比例模型。只有整体HERV信号上升，不能区分宿主总转录增加与特定isoform比例增加。短读长若多个结构共享全部可见序列，则只报告位点级或转录本组级结果。</w:t>
      </w:r>
    </w:p>
    <w:p>
      <w:r>
        <w:rPr>
          <w:b w:val="0"/>
        </w:rPr>
        <w:t>snRNA主要承担细胞定位。只有3′独特片段或特异junction能够区别目标结构时，才将其分配到具体细胞类型；否则表述为“该结构所属HERV位点的细胞类型表达”，不声称确定某个isoform来自某类细胞。已知结构有助于汇总可判别读段、降低注释歧义，但不会增加原始测序分子数。仍低丰度的候选可留待靶向捕获长读长或RT-PCR实验，不能通过只保留候选参考强迫多重比对read归属。</w:t>
      </w:r>
    </w:p>
    <w:p>
      <w:pPr>
        <w:pStyle w:val="Heading2"/>
      </w:pPr>
      <w:r>
        <w:t>4 结合LTR结构和染色质证据解释转录变化</w:t>
      </w:r>
    </w:p>
    <w:p>
      <w:r>
        <w:rPr>
          <w:b w:val="0"/>
        </w:rPr>
        <w:t>HERVarium用于补充LTR的5′/3′/solo/tandem类别、U3/R/U5预测、PBS/PPT、TF motif及结构置信标记；内部蛋白结构域来自其另一个配套模块。以GRCh38坐标和链方向映射候选，保留算法标记的不确定性。该资源提供的是基因组结构与序列调控潜力，不能替代表达参考、真实RNA端点或TF结合实验。资源边界不一致时先核对RepeatMasker和原始序列；确需补算的位点使用作者流程，motif扫描采用固定JASPAR版本与FIMO。[8]</w:t>
      </w:r>
    </w:p>
    <w:p>
      <w:r>
        <w:rPr>
          <w:b w:val="0"/>
        </w:rPr>
        <w:t>GSE174367和GSE214979使用Signac进行ATAC质控、LSI、细胞注释与fragment矩阵分析。按细胞类型建立跨供体一致的候选峰集，采用MACS2/3调用峰并去除黑名单和明显低可比对区域，再按供体×细胞类型聚合fragment计数，用edgeR检验差异开放。候选HERV本体、5′LTR及实际候选TSS窗口分别统计；±2kb、±10kb仅用于描述近邻范围，不能把窗口内任意开放峰都归因于HERV启动。</w:t>
      </w:r>
    </w:p>
    <w:p>
      <w:r>
        <w:rPr>
          <w:b w:val="0"/>
        </w:rPr>
        <w:t>ATAC重复区分析以高可信定位的fragment为主。Stellarscope是RNA定量工具，不能直接移用于ATAC多重比对。某LTR因重复性缺少可定位fragment时标记为不可评估，不能称其不开放。对候选集合做motif富集时，以可检测且长度、GC含量、可及性和可比对性相近的LTR/峰作背景，并考虑HERV亚家族组成，防止重复序列本身的序列相似性制造富集。</w:t>
      </w:r>
    </w:p>
    <w:p>
      <w:r>
        <w:rPr>
          <w:b w:val="0"/>
        </w:rPr>
        <w:t>chromVAR计算motif相关可及性偏差，RNA提供TF表达和细胞状态信息。motif存在、motif相关开放度升高和TF表达改变分别构成支持；chromVAR分数不是直接的TF结合或活性测量，同一家族TF共享motif时只解释到有证据支持的层级。TOBIAS仅用于深度和可比对性足够的供体级聚合数据，足迹不足不否定结合。以NF-κB、IRF、STAT、AP-1、SPI1等为生物学候选，同时保留无偏扫描，避免只报告预期炎症通路。</w:t>
      </w:r>
    </w:p>
    <w:p>
      <w:r>
        <w:rPr>
          <w:b w:val="0"/>
        </w:rPr>
        <w:t>调控整合首先形成每位点的证据表，标记宿主转录相关、局部开放相关、TF程序相关和状态组成相关，可同时具有多项标签。GSE214979提供约15位供体的配对RNA/ATAC，适合少数预先确定关系的检验。多组学模型以供体为有效重复，每次优先比较一个主要解释变量与必要协变量，再尝试两个解释变量的增量模型；不在15人数据中同时拟合大量TF、宿主基因与状态特征。</w:t>
      </w:r>
    </w:p>
    <w:p>
      <w:r>
        <w:rPr>
          <w:b w:val="0"/>
        </w:rPr>
        <w:t>若供体数和数据质量允许，可用加权线性模型或lme4检验HERV表达与局部可及性、宿主表达的关联，重复细胞类型或脑区记录需处理供体相关性。预测评估按供体留出，特征筛选也在训练集内进行；报告不确定性，不将partial R²解释为各因素的因果贡献比例。RNA与ATAC并非同供体时，只比较同类细胞中的疾病效应方向，不跨人拼接做相关。</w:t>
      </w:r>
    </w:p>
    <w:p>
      <w:pPr>
        <w:pStyle w:val="Heading2"/>
      </w:pPr>
      <w:r>
        <w:t>5 确定候选相关的细胞功能并独立复核</w:t>
      </w:r>
    </w:p>
    <w:p>
      <w:r>
        <w:rPr>
          <w:b w:val="0"/>
        </w:rPr>
        <w:t>功能分析围绕已经确定的HERV位点或结构，先在供体×细胞类型层面计算其与基因、基因集评分的关联，控制队列与主要技术因素，并在AD和对照内部复核。gene与HERV位于同一转录单位时，优先使用非重叠特异片段和连接比例，区分生物学共调控与计数来源共享。不能仅凭所有AD样本同时偏高就推断HERV调节该基因。</w:t>
      </w:r>
    </w:p>
    <w:p>
      <w:r>
        <w:rPr>
          <w:b w:val="0"/>
        </w:rPr>
        <w:t>当供体数与表达覆盖足够时，WGCNA在标准化的供体级表达上构建基因模块，检验HERV与模块特征值关系；已有hdWGCNA可保留为细胞状态探索，但metacell不替代独立供体。若HERV稀疏，先构建稳定gene模块，再检验HERV与模块关系。小样本下模块不稳定时，退回预定义基因集和候选级相关，不为每个细胞类型强制建立网络。</w:t>
      </w:r>
    </w:p>
    <w:p>
      <w:r>
        <w:rPr>
          <w:b w:val="0"/>
        </w:rPr>
        <w:t>clusterProfiler用于相关基因的GO/通路富集，fgsea用于按关联或差异统计量排序的基因列表。背景限于相应细胞类型中实际可检测、进入检验的基因；同时检查高表达宿主基因和少数共享分子是否主导结果。关注免疫、脂质代谢、突触、髓鞘和应激等AD程序，但将结果表述为“与该功能程序共同变化”，不直接写成HERV激活该通路。</w:t>
      </w:r>
    </w:p>
    <w:p>
      <w:r>
        <w:rPr>
          <w:b w:val="0"/>
        </w:rPr>
        <w:t>复核分为文献一致性、独立队列重现与实验验证三个层次。验证队列使用发现阶段锁定的候选、marker或模块评分规则，减少重新调参；文献一致性用于解释，不代替统计复现。与文献不同的结果需先协调细胞类型、脑区、HERV层级、分期及技术口径，再讨论生物学异质性。若未来能实验，优先对少数结构清楚且可特异靶向的位点实施连接RT-PCR及Sanger、5′/3′RACE，并依问题选择LTR CRISPRi或RNA靶向干预。LTR DNA干预可能同时改变宿主基因和邻近染色质，需与RNA干预区分，才能讨论DNA元件效应还是RNA分子效应。</w:t>
      </w:r>
    </w:p>
    <w:p>
      <w:pPr>
        <w:pStyle w:val="Heading2"/>
      </w:pPr>
      <w:r>
        <w:t>6 按公开资源的实际形式开展遗传整合</w:t>
      </w:r>
    </w:p>
    <w:p>
      <w:r>
        <w:rPr>
          <w:b w:val="0"/>
        </w:rPr>
        <w:t>遗传分析回答“遗传调控的表达成分是否与AD风险相关”，与死后脑组织中的疾病相关表达改变不同。没有自己的基因型仍可使用公开预测权重或完整QTL summary；但不能从表达相关性创造HERV-eQTL。优先实施CommonMind权重的rTWAS，SERVE完整统计量取得后再增加共定位及SMR，SingleBrain提供gene端证据。</w:t>
      </w:r>
    </w:p>
    <w:p>
      <w:r>
        <w:rPr>
          <w:b/>
        </w:rPr>
        <w:t>公开权重路线。</w:t>
      </w:r>
      <w:r>
        <w:rPr>
          <w:b w:val="0"/>
        </w:rPr>
        <w:t>Duarte等2024年研究公开了DLPFC中HERV及gene的SNP预测权重与示例参考面板，并有rTWAS教程。采用与AD GWAS祖源相符的模型；分析前核对实际权重文件的基因组版本、SNP覆盖、HERV表型定义及参考面板，不能假定预测权重和本项目GRCh38表达注释天然一致。FUSION检验遗传预测HERV表达与AD风险的关联，对显著区域将同区域可用gene与HERV一起纳入conditional/joint分析，并在格式和参考面板匹配时用FOCUS形成可信集合与PIP。[9]</w:t>
      </w:r>
    </w:p>
    <w:p>
      <w:r>
        <w:rPr>
          <w:b w:val="0"/>
        </w:rPr>
        <w:t>检验范围可先覆盖资源中全部可用HERV，再对表达和结构候选交叉注释；全局检验按全部测试数校正。若仅对预先锁定的表达候选检验，则明确是候选分析并按该集合校正。FOCUS条件独立或高PIP仅在纳入模型的特征及假设下成立，不等于排除所有宿主基因机制；没有权重的HERV应记为“无法检验”，不能视为遗传阴性。GWAS使用GCST90027158作为预设输入，区分论文总人数、阶段和下载文件的实际有效N；风险效应统一为log(OR)，记录代理病例的定义及队列重叠。</w:t>
      </w:r>
    </w:p>
    <w:p>
      <w:r>
        <w:rPr>
          <w:b/>
        </w:rPr>
        <w:t>SERVE资源核查与扩展路线。</w:t>
      </w:r>
      <w:r>
        <w:rPr>
          <w:b w:val="0"/>
        </w:rPr>
        <w:t>2022年SERVE研究确实完成了包括脑组织在内的cis-ervQTL分析，但此次实际下载检查的Additional file 2中，S8只有组织、样本量和eHERV数量；S9是GTEx组织与Roadmap细胞类型的对应关系；S12只有作者已完成共定位的疾病、组织、HERV_ID、nsnp及H0—H4概率。它们既不是逐SNP效应表，也不是可直接用于本项目的新AD共定位输入。因此当前不能承诺“下载S8/S9后即可开展HERV-eQTL–AD分析”，也不能从这些表直接获取全体候选eSNP做富集。[10]</w:t>
      </w:r>
    </w:p>
    <w:p>
      <w:r>
        <w:rPr>
          <w:b w:val="0"/>
        </w:rPr>
        <w:t>SERVE目前可确定用于结构和表达表型注释；完整脑组织SNP–hervRNA summary需向作者索取或在合法获得GTEx表达及基因型后重建。此处仅列为后续获取计划，不将作者未公开的文件当作已经取得。健康组织QTL本身可以用于研究疾病风险，并不因供体健康而失效；真正限制是组织/细胞类型可迁移性、表型是否匹配、样本量及统计量完整性。PBMC HERV-eQTL可作跨组织辅助，不能直接代表脑内调控；2025年对应论文排除了与gene外显子重叠的部分HERV，可能不覆盖本项目的嵌合候选。[11]</w:t>
      </w:r>
    </w:p>
    <w:p>
      <w:r>
        <w:rPr>
          <w:b/>
        </w:rPr>
        <w:t>获得完整summary后的分析。</w:t>
      </w:r>
      <w:r>
        <w:rPr>
          <w:b w:val="0"/>
        </w:rPr>
        <w:t>统一QTL、GWAS和LD参考的基因组版本、变异坐标、效应等位基因及频率，排查回文SNP、频率冲突和低质量位点。对共同cis区间保留足够密集的SNP统计，而非仅取显著或lead SNP。优先取得beta、SE、等位基因、频率、样本量和表型尺度；coloc在满足文档要求时也支持完整P值、MAF及N等组合，不应把“缺beta”一概等同“任何共定位都不可做”。SMR仍需相应效应估计及足够的工具信息。[12]</w:t>
      </w:r>
    </w:p>
    <w:p>
      <w:r>
        <w:rPr>
          <w:b w:val="0"/>
        </w:rPr>
        <w:t>若一个区域近似单一信号，采用coloc.abf并检查先验敏感性；存在多个独立信号且有匹配LD时，采用SuSiE与coloc.susie。PP.H4可用＞0.8作为预设的较强支持阈值，同时报告H3、SNP覆盖与可信集合，不能只凭一个概率数作因果结论。SMR作为补充，选择强cis工具，报告SMR效应、校正后的P值、HEIDI及其有效SNP数。HEIDI不显著表示没有足够证据反对共享信号模型，并不证明不存在水平多效性，更不证明HERV介导AD。[12—13]</w:t>
      </w:r>
    </w:p>
    <w:p>
      <w:r>
        <w:rPr>
          <w:b/>
        </w:rPr>
        <w:t>gene端的替代解释。</w:t>
      </w:r>
      <w:r>
        <w:rPr>
          <w:b w:val="0"/>
        </w:rPr>
        <w:t>SingleBrain公开的是脑细胞类型gene-eQTL，其cis summary入口已由论文指向Zenodo。对与候选HERV有结构关系或合理调控联系的gene，评估gene-eQTL与同一AD区域的共定位，并与HERV结果并列。比较应尽量使用相近脑区与细胞背景；当gene共定位而HERV数据不足时，只能说gene获得遗传支持，不能以此排除HERV。若两者均支持共享信号，还需考虑共同上游调控、嵌合RNA以及表型重叠，两个成对共定位结果不能自动证明SNP→HERV→gene→AD的中介链。[14]</w:t>
      </w:r>
    </w:p>
    <w:p>
      <w:r>
        <w:rPr>
          <w:b w:val="0"/>
        </w:rPr>
        <w:t>不再采用“HERV–gene表达回归系数×gene-eQTL系数＝HERV-eQTL效应”的简单相乘。这种计算缺少方向识别、无混杂和尺度一致等条件，不能作为正式QTL、SMR或因果输入。若未来取得SEA-AD匹配基因型，可用QTLtools或tensorQTL在供体×细胞类型pseudobulk上开展cis分析；约84位供体应定位为候选验证或探索，不能因细胞核多而当作大样本eQTL研究。</w:t>
      </w:r>
    </w:p>
    <w:p>
      <w:pPr>
        <w:pStyle w:val="Heading1"/>
      </w:pPr>
      <w:r>
        <w:t>四 候选整合与完成标准</w:t>
      </w:r>
    </w:p>
    <w:p>
      <w:r>
        <w:rPr>
          <w:b w:val="0"/>
        </w:rPr>
        <w:t>最终建立位点与转录本两张相连的证据表，包含坐标和注释对应关系、有效供体数、疾病或病理效应、独立复现、读段可判别性、结构连接和端点支持、宿主关系、开放性、TF关联、功能模块及遗传结果。每个证据字段区分“有支持”“有足够能力但未支持”“数据不足”“未覆盖”，避免把缺数据当作阴性。</w:t>
      </w:r>
    </w:p>
    <w:p>
      <w:r>
        <w:rPr>
          <w:b w:val="0"/>
        </w:rPr>
        <w:t>候选分层以表达可判别性和跨队列疾病关联为基础，再依据结构清晰度与调控证据选择重点对象。结构可靠但疾病差异不足的转录本可作为参考目录成员；表达复现但结构尚不清楚的位点保留疾病候选身份，暂不赋予具体机制。没有遗传支持并不排除疾病状态相关作用，遗传支持也不能代替真实脑表达和结构证据。避免将多个相关证据简单计分相加，预先锁定分层规则并完整展示不一致结果。</w:t>
      </w:r>
    </w:p>
    <w:p>
      <w:r>
        <w:rPr>
          <w:b w:val="0"/>
        </w:rPr>
        <w:t>本研究的最低完整产出为：一套经供体级分析并在独立数据中复核的AD相关HERV候选；一套带原始分子和短读长支持等级的皮层HERV相关转录本目录；候选的细胞状态、宿主转录及局部调控关联；公开权重覆盖范围内的遗传检验结果及不可检验清单。具体重点位点数由证据决定，不预先保证获得某个数量的全长或因果候选。</w:t>
      </w:r>
    </w:p>
    <w:p>
      <w:pPr>
        <w:pStyle w:val="Heading1"/>
      </w:pPr>
      <w:r>
        <w:t>五 实施顺序与备选路线</w:t>
      </w:r>
    </w:p>
    <w:p>
      <w:r>
        <w:rPr>
          <w:b w:val="0"/>
        </w:rPr>
        <w:t>下表按任务依赖排列，不预设日历时间。表达发现与长读长目录可在参考坐标确定后交错推进；机制分析使用锁定候选，验证队列在发现规则固定后分析。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31"/>
        <w:gridCol w:w="2381"/>
        <w:gridCol w:w="2665"/>
        <w:gridCol w:w="2494"/>
      </w:tblGrid>
      <w:tr>
        <w:trPr>
          <w:cantSplit/>
          <w:tblHeader/>
        </w:trPr>
        <w:tc>
          <w:tcPr>
            <w:tcW w:type="dxa" w:w="1531"/>
            <w:vAlign w:val="center"/>
            <w:shd w:fill="E6EDF3"/>
            <w:tcMar>
              <w:top w:w="80" w:type="dxa"/>
              <w:bottom w:w="80" w:type="dxa"/>
              <w:left w:w="80" w:type="dxa"/>
              <w:right w:w="80" w:type="dxa"/>
            </w:tcMar>
          </w:tcPr>
          <w:p>
            <w:pPr>
              <w:keepNext w:val="0"/>
              <w:spacing w:after="0" w:line="271" w:lineRule="auto"/>
              <w:jc w:val="center"/>
            </w:pPr>
            <w:r>
              <w:rPr>
                <w:b/>
                <w:sz w:val="18"/>
              </w:rPr>
              <w:t>子任务目标</w:t>
            </w:r>
          </w:p>
        </w:tc>
        <w:tc>
          <w:tcPr>
            <w:tcW w:type="dxa" w:w="2381"/>
            <w:vAlign w:val="center"/>
            <w:shd w:fill="E6EDF3"/>
            <w:tcMar>
              <w:top w:w="80" w:type="dxa"/>
              <w:bottom w:w="80" w:type="dxa"/>
              <w:left w:w="80" w:type="dxa"/>
              <w:right w:w="80" w:type="dxa"/>
            </w:tcMar>
          </w:tcPr>
          <w:p>
            <w:pPr>
              <w:keepNext w:val="0"/>
              <w:spacing w:after="0" w:line="271" w:lineRule="auto"/>
              <w:jc w:val="center"/>
            </w:pPr>
            <w:r>
              <w:rPr>
                <w:b/>
                <w:sz w:val="18"/>
              </w:rPr>
              <w:t>主方法和工具</w:t>
            </w:r>
          </w:p>
        </w:tc>
        <w:tc>
          <w:tcPr>
            <w:tcW w:type="dxa" w:w="2665"/>
            <w:vAlign w:val="center"/>
            <w:shd w:fill="E6EDF3"/>
            <w:tcMar>
              <w:top w:w="80" w:type="dxa"/>
              <w:bottom w:w="80" w:type="dxa"/>
              <w:left w:w="80" w:type="dxa"/>
              <w:right w:w="80" w:type="dxa"/>
            </w:tcMar>
          </w:tcPr>
          <w:p>
            <w:pPr>
              <w:keepNext w:val="0"/>
              <w:spacing w:after="0" w:line="271" w:lineRule="auto"/>
              <w:jc w:val="center"/>
            </w:pPr>
            <w:r>
              <w:rPr>
                <w:b/>
                <w:sz w:val="18"/>
              </w:rPr>
              <w:t>完成时应有的结果</w:t>
            </w:r>
          </w:p>
        </w:tc>
        <w:tc>
          <w:tcPr>
            <w:tcW w:type="dxa" w:w="2494"/>
            <w:vAlign w:val="center"/>
            <w:shd w:fill="E6EDF3"/>
            <w:tcMar>
              <w:top w:w="80" w:type="dxa"/>
              <w:bottom w:w="80" w:type="dxa"/>
              <w:left w:w="80" w:type="dxa"/>
              <w:right w:w="80" w:type="dxa"/>
            </w:tcMar>
          </w:tcPr>
          <w:p>
            <w:pPr>
              <w:keepNext w:val="0"/>
              <w:spacing w:after="0" w:line="271" w:lineRule="auto"/>
              <w:jc w:val="center"/>
            </w:pPr>
            <w:r>
              <w:rPr>
                <w:b/>
                <w:sz w:val="18"/>
              </w:rPr>
              <w:t>遇到问题时的备选路线</w:t>
            </w:r>
          </w:p>
        </w:tc>
      </w:tr>
      <w:tr>
        <w:trPr>
          <w:cantSplit/>
        </w:trPr>
        <w:tc>
          <w:tcPr>
            <w:tcW w:type="dxa" w:w="1531"/>
            <w:vAlign w:val="center"/>
            <w:shd w:fill="FFFFFF"/>
            <w:tcMar>
              <w:top w:w="80" w:type="dxa"/>
              <w:bottom w:w="80" w:type="dxa"/>
              <w:left w:w="80" w:type="dxa"/>
              <w:right w:w="80" w:type="dxa"/>
            </w:tcMar>
          </w:tcPr>
          <w:p>
            <w:pPr>
              <w:keepNext w:val="0"/>
              <w:spacing w:after="0" w:line="271" w:lineRule="auto"/>
            </w:pPr>
            <w:r>
              <w:rPr>
                <w:b w:val="0"/>
                <w:sz w:val="18"/>
              </w:rPr>
              <w:t>建立可比较的数据与注释</w:t>
            </w:r>
          </w:p>
        </w:tc>
        <w:tc>
          <w:tcPr>
            <w:tcW w:type="dxa" w:w="2381"/>
            <w:vAlign w:val="center"/>
            <w:shd w:fill="FFFFFF"/>
            <w:tcMar>
              <w:top w:w="80" w:type="dxa"/>
              <w:bottom w:w="80" w:type="dxa"/>
              <w:left w:w="80" w:type="dxa"/>
              <w:right w:w="80" w:type="dxa"/>
            </w:tcMar>
          </w:tcPr>
          <w:p>
            <w:pPr>
              <w:keepNext w:val="0"/>
              <w:spacing w:after="0" w:line="271" w:lineRule="auto"/>
            </w:pPr>
            <w:r>
              <w:rPr>
                <w:b w:val="0"/>
                <w:sz w:val="18"/>
              </w:rPr>
              <w:t>供体元数据核对；BEDTools/GenomicRanges；STARsolo/Stellarscope试跑</w:t>
            </w:r>
          </w:p>
        </w:tc>
        <w:tc>
          <w:tcPr>
            <w:tcW w:type="dxa" w:w="2665"/>
            <w:vAlign w:val="center"/>
            <w:shd w:fill="FFFFFF"/>
            <w:tcMar>
              <w:top w:w="80" w:type="dxa"/>
              <w:bottom w:w="80" w:type="dxa"/>
              <w:left w:w="80" w:type="dxa"/>
              <w:right w:w="80" w:type="dxa"/>
            </w:tcMar>
          </w:tcPr>
          <w:p>
            <w:pPr>
              <w:keepNext w:val="0"/>
              <w:spacing w:after="0" w:line="271" w:lineRule="auto"/>
            </w:pPr>
            <w:r>
              <w:rPr>
                <w:b w:val="0"/>
                <w:sz w:val="18"/>
              </w:rPr>
              <w:t>去重供体表、可用模态表、位点对应表及质控报告</w:t>
            </w:r>
          </w:p>
        </w:tc>
        <w:tc>
          <w:tcPr>
            <w:tcW w:type="dxa" w:w="2494"/>
            <w:vAlign w:val="center"/>
            <w:shd w:fill="FFFFFF"/>
            <w:tcMar>
              <w:top w:w="80" w:type="dxa"/>
              <w:bottom w:w="80" w:type="dxa"/>
              <w:left w:w="80" w:type="dxa"/>
              <w:right w:w="80" w:type="dxa"/>
            </w:tcMar>
          </w:tcPr>
          <w:p>
            <w:pPr>
              <w:keepNext w:val="0"/>
              <w:spacing w:after="0" w:line="271" w:lineRule="auto"/>
            </w:pPr>
            <w:r>
              <w:rPr>
                <w:b w:val="0"/>
                <w:sz w:val="18"/>
              </w:rPr>
              <w:t>缺原始数据退出位点发现；无法区分位点时报告位点组</w:t>
            </w:r>
          </w:p>
        </w:tc>
      </w:tr>
      <w:tr>
        <w:trPr>
          <w:cantSplit/>
        </w:trPr>
        <w:tc>
          <w:tcPr>
            <w:tcW w:type="dxa" w:w="1531"/>
            <w:vAlign w:val="center"/>
            <w:shd w:fill="FFFFFF"/>
            <w:tcMar>
              <w:top w:w="80" w:type="dxa"/>
              <w:bottom w:w="80" w:type="dxa"/>
              <w:left w:w="80" w:type="dxa"/>
              <w:right w:w="80" w:type="dxa"/>
            </w:tcMar>
          </w:tcPr>
          <w:p>
            <w:pPr>
              <w:keepNext w:val="0"/>
              <w:spacing w:after="0" w:line="271" w:lineRule="auto"/>
            </w:pPr>
            <w:r>
              <w:rPr>
                <w:b w:val="0"/>
                <w:sz w:val="18"/>
              </w:rPr>
              <w:t>发现疾病与状态相关HERV</w:t>
            </w:r>
          </w:p>
        </w:tc>
        <w:tc>
          <w:tcPr>
            <w:tcW w:type="dxa" w:w="2381"/>
            <w:vAlign w:val="center"/>
            <w:shd w:fill="FFFFFF"/>
            <w:tcMar>
              <w:top w:w="80" w:type="dxa"/>
              <w:bottom w:w="80" w:type="dxa"/>
              <w:left w:w="80" w:type="dxa"/>
              <w:right w:w="80" w:type="dxa"/>
            </w:tcMar>
          </w:tcPr>
          <w:p>
            <w:pPr>
              <w:keepNext w:val="0"/>
              <w:spacing w:after="0" w:line="271" w:lineRule="auto"/>
            </w:pPr>
            <w:r>
              <w:rPr>
                <w:b w:val="0"/>
                <w:sz w:val="18"/>
              </w:rPr>
              <w:t>pseudobulk；limma-voom；edgeR；metafor；Seurat/UCell</w:t>
            </w:r>
          </w:p>
        </w:tc>
        <w:tc>
          <w:tcPr>
            <w:tcW w:type="dxa" w:w="2665"/>
            <w:vAlign w:val="center"/>
            <w:shd w:fill="FFFFFF"/>
            <w:tcMar>
              <w:top w:w="80" w:type="dxa"/>
              <w:bottom w:w="80" w:type="dxa"/>
              <w:left w:w="80" w:type="dxa"/>
              <w:right w:w="80" w:type="dxa"/>
            </w:tcMar>
          </w:tcPr>
          <w:p>
            <w:pPr>
              <w:keepNext w:val="0"/>
              <w:spacing w:after="0" w:line="271" w:lineRule="auto"/>
            </w:pPr>
            <w:r>
              <w:rPr>
                <w:b w:val="0"/>
                <w:sz w:val="18"/>
              </w:rPr>
              <w:t>每队列效应和CI、病例对照与病理结果、独立复现</w:t>
            </w:r>
          </w:p>
        </w:tc>
        <w:tc>
          <w:tcPr>
            <w:tcW w:type="dxa" w:w="2494"/>
            <w:vAlign w:val="center"/>
            <w:shd w:fill="FFFFFF"/>
            <w:tcMar>
              <w:top w:w="80" w:type="dxa"/>
              <w:bottom w:w="80" w:type="dxa"/>
              <w:left w:w="80" w:type="dxa"/>
              <w:right w:w="80" w:type="dxa"/>
            </w:tcMar>
          </w:tcPr>
          <w:p>
            <w:pPr>
              <w:keepNext w:val="0"/>
              <w:spacing w:after="0" w:line="271" w:lineRule="auto"/>
            </w:pPr>
            <w:r>
              <w:rPr>
                <w:b w:val="0"/>
                <w:sz w:val="18"/>
              </w:rPr>
              <w:t>状态稀疏时回到大细胞类型；诊断无法协调则分别报告</w:t>
            </w:r>
          </w:p>
        </w:tc>
      </w:tr>
      <w:tr>
        <w:trPr>
          <w:cantSplit/>
        </w:trPr>
        <w:tc>
          <w:tcPr>
            <w:tcW w:type="dxa" w:w="1531"/>
            <w:vAlign w:val="center"/>
            <w:shd w:fill="FFFFFF"/>
            <w:tcMar>
              <w:top w:w="80" w:type="dxa"/>
              <w:bottom w:w="80" w:type="dxa"/>
              <w:left w:w="80" w:type="dxa"/>
              <w:right w:w="80" w:type="dxa"/>
            </w:tcMar>
          </w:tcPr>
          <w:p>
            <w:pPr>
              <w:keepNext w:val="0"/>
              <w:spacing w:after="0" w:line="271" w:lineRule="auto"/>
            </w:pPr>
            <w:r>
              <w:rPr>
                <w:b w:val="0"/>
                <w:sz w:val="18"/>
              </w:rPr>
              <w:t>确定RNA结构</w:t>
            </w:r>
          </w:p>
        </w:tc>
        <w:tc>
          <w:tcPr>
            <w:tcW w:type="dxa" w:w="2381"/>
            <w:vAlign w:val="center"/>
            <w:shd w:fill="FFFFFF"/>
            <w:tcMar>
              <w:top w:w="80" w:type="dxa"/>
              <w:bottom w:w="80" w:type="dxa"/>
              <w:left w:w="80" w:type="dxa"/>
              <w:right w:w="80" w:type="dxa"/>
            </w:tcMar>
          </w:tcPr>
          <w:p>
            <w:pPr>
              <w:keepNext w:val="0"/>
              <w:spacing w:after="0" w:line="271" w:lineRule="auto"/>
            </w:pPr>
            <w:r>
              <w:rPr>
                <w:b w:val="0"/>
                <w:sz w:val="18"/>
              </w:rPr>
              <w:t>minimap2；bambu；SQANTI3；关键位点FLAIR</w:t>
            </w:r>
          </w:p>
        </w:tc>
        <w:tc>
          <w:tcPr>
            <w:tcW w:type="dxa" w:w="2665"/>
            <w:vAlign w:val="center"/>
            <w:shd w:fill="FFFFFF"/>
            <w:tcMar>
              <w:top w:w="80" w:type="dxa"/>
              <w:bottom w:w="80" w:type="dxa"/>
              <w:left w:w="80" w:type="dxa"/>
              <w:right w:w="80" w:type="dxa"/>
            </w:tcMar>
          </w:tcPr>
          <w:p>
            <w:pPr>
              <w:keepNext w:val="0"/>
              <w:spacing w:after="0" w:line="271" w:lineRule="auto"/>
            </w:pPr>
            <w:r>
              <w:rPr>
                <w:b w:val="0"/>
                <w:sz w:val="18"/>
              </w:rPr>
              <w:t>结构GTF、原始read支持、宿主连接、端点等级</w:t>
            </w:r>
          </w:p>
        </w:tc>
        <w:tc>
          <w:tcPr>
            <w:tcW w:type="dxa" w:w="2494"/>
            <w:vAlign w:val="center"/>
            <w:shd w:fill="FFFFFF"/>
            <w:tcMar>
              <w:top w:w="80" w:type="dxa"/>
              <w:bottom w:w="80" w:type="dxa"/>
              <w:left w:w="80" w:type="dxa"/>
              <w:right w:w="80" w:type="dxa"/>
            </w:tcMar>
          </w:tcPr>
          <w:p>
            <w:pPr>
              <w:keepNext w:val="0"/>
              <w:spacing w:after="0" w:line="271" w:lineRule="auto"/>
            </w:pPr>
            <w:r>
              <w:rPr>
                <w:b w:val="0"/>
                <w:sz w:val="18"/>
              </w:rPr>
              <w:t>单外显子或端点差异另行保留；剪接不稳时ESPRESSO复核；低覆盖记待验证</w:t>
            </w:r>
          </w:p>
        </w:tc>
      </w:tr>
      <w:tr>
        <w:trPr>
          <w:cantSplit/>
        </w:trPr>
        <w:tc>
          <w:tcPr>
            <w:tcW w:type="dxa" w:w="1531"/>
            <w:vAlign w:val="center"/>
            <w:shd w:fill="FFFFFF"/>
            <w:tcMar>
              <w:top w:w="80" w:type="dxa"/>
              <w:bottom w:w="80" w:type="dxa"/>
              <w:left w:w="80" w:type="dxa"/>
              <w:right w:w="80" w:type="dxa"/>
            </w:tcMar>
          </w:tcPr>
          <w:p>
            <w:pPr>
              <w:keepNext w:val="0"/>
              <w:spacing w:after="0" w:line="271" w:lineRule="auto"/>
            </w:pPr>
            <w:r>
              <w:rPr>
                <w:b w:val="0"/>
                <w:sz w:val="18"/>
              </w:rPr>
              <w:t>投射回大样本短读长</w:t>
            </w:r>
          </w:p>
        </w:tc>
        <w:tc>
          <w:tcPr>
            <w:tcW w:type="dxa" w:w="2381"/>
            <w:vAlign w:val="center"/>
            <w:shd w:fill="FFFFFF"/>
            <w:tcMar>
              <w:top w:w="80" w:type="dxa"/>
              <w:bottom w:w="80" w:type="dxa"/>
              <w:left w:w="80" w:type="dxa"/>
              <w:right w:w="80" w:type="dxa"/>
            </w:tcMar>
          </w:tcPr>
          <w:p>
            <w:pPr>
              <w:keepNext w:val="0"/>
              <w:spacing w:after="0" w:line="271" w:lineRule="auto"/>
            </w:pPr>
            <w:r>
              <w:rPr>
                <w:b w:val="0"/>
                <w:sz w:val="18"/>
              </w:rPr>
              <w:t>STAR two-pass；regtools；候选连接计数；Salmon补充</w:t>
            </w:r>
          </w:p>
        </w:tc>
        <w:tc>
          <w:tcPr>
            <w:tcW w:type="dxa" w:w="2665"/>
            <w:vAlign w:val="center"/>
            <w:shd w:fill="FFFFFF"/>
            <w:tcMar>
              <w:top w:w="80" w:type="dxa"/>
              <w:bottom w:w="80" w:type="dxa"/>
              <w:left w:w="80" w:type="dxa"/>
              <w:right w:w="80" w:type="dxa"/>
            </w:tcMar>
          </w:tcPr>
          <w:p>
            <w:pPr>
              <w:keepNext w:val="0"/>
              <w:spacing w:after="0" w:line="271" w:lineRule="auto"/>
            </w:pPr>
            <w:r>
              <w:rPr>
                <w:b w:val="0"/>
                <w:sz w:val="18"/>
              </w:rPr>
              <w:t>结构特异计数、连接使用比例、细胞定位等级</w:t>
            </w:r>
          </w:p>
        </w:tc>
        <w:tc>
          <w:tcPr>
            <w:tcW w:type="dxa" w:w="2494"/>
            <w:vAlign w:val="center"/>
            <w:shd w:fill="FFFFFF"/>
            <w:tcMar>
              <w:top w:w="80" w:type="dxa"/>
              <w:bottom w:w="80" w:type="dxa"/>
              <w:left w:w="80" w:type="dxa"/>
              <w:right w:w="80" w:type="dxa"/>
            </w:tcMar>
          </w:tcPr>
          <w:p>
            <w:pPr>
              <w:keepNext w:val="0"/>
              <w:spacing w:after="0" w:line="271" w:lineRule="auto"/>
            </w:pPr>
            <w:r>
              <w:rPr>
                <w:b w:val="0"/>
                <w:sz w:val="18"/>
              </w:rPr>
              <w:t>isoform不可辨时退回连接/转录本组；3′数据不强行推断5′结构</w:t>
            </w:r>
          </w:p>
        </w:tc>
      </w:tr>
      <w:tr>
        <w:trPr>
          <w:cantSplit/>
        </w:trPr>
        <w:tc>
          <w:tcPr>
            <w:tcW w:type="dxa" w:w="1531"/>
            <w:vAlign w:val="center"/>
            <w:shd w:fill="FFFFFF"/>
            <w:tcMar>
              <w:top w:w="80" w:type="dxa"/>
              <w:bottom w:w="80" w:type="dxa"/>
              <w:left w:w="80" w:type="dxa"/>
              <w:right w:w="80" w:type="dxa"/>
            </w:tcMar>
          </w:tcPr>
          <w:p>
            <w:pPr>
              <w:keepNext w:val="0"/>
              <w:spacing w:after="0" w:line="271" w:lineRule="auto"/>
            </w:pPr>
            <w:r>
              <w:rPr>
                <w:b w:val="0"/>
                <w:sz w:val="18"/>
              </w:rPr>
              <w:t>检验局部调控关联</w:t>
            </w:r>
          </w:p>
        </w:tc>
        <w:tc>
          <w:tcPr>
            <w:tcW w:type="dxa" w:w="2381"/>
            <w:vAlign w:val="center"/>
            <w:shd w:fill="FFFFFF"/>
            <w:tcMar>
              <w:top w:w="80" w:type="dxa"/>
              <w:bottom w:w="80" w:type="dxa"/>
              <w:left w:w="80" w:type="dxa"/>
              <w:right w:w="80" w:type="dxa"/>
            </w:tcMar>
          </w:tcPr>
          <w:p>
            <w:pPr>
              <w:keepNext w:val="0"/>
              <w:spacing w:after="0" w:line="271" w:lineRule="auto"/>
            </w:pPr>
            <w:r>
              <w:rPr>
                <w:b w:val="0"/>
                <w:sz w:val="18"/>
              </w:rPr>
              <w:t>HERVarium；Signac；MACS2/3；edgeR；chromVAR；FIMO</w:t>
            </w:r>
          </w:p>
        </w:tc>
        <w:tc>
          <w:tcPr>
            <w:tcW w:type="dxa" w:w="2665"/>
            <w:vAlign w:val="center"/>
            <w:shd w:fill="FFFFFF"/>
            <w:tcMar>
              <w:top w:w="80" w:type="dxa"/>
              <w:bottom w:w="80" w:type="dxa"/>
              <w:left w:w="80" w:type="dxa"/>
              <w:right w:w="80" w:type="dxa"/>
            </w:tcMar>
          </w:tcPr>
          <w:p>
            <w:pPr>
              <w:keepNext w:val="0"/>
              <w:spacing w:after="0" w:line="271" w:lineRule="auto"/>
            </w:pPr>
            <w:r>
              <w:rPr>
                <w:b w:val="0"/>
                <w:sz w:val="18"/>
              </w:rPr>
              <w:t>开放性效应、TF motif和状态关联、供体配对结果</w:t>
            </w:r>
          </w:p>
        </w:tc>
        <w:tc>
          <w:tcPr>
            <w:tcW w:type="dxa" w:w="2494"/>
            <w:vAlign w:val="center"/>
            <w:shd w:fill="FFFFFF"/>
            <w:tcMar>
              <w:top w:w="80" w:type="dxa"/>
              <w:bottom w:w="80" w:type="dxa"/>
              <w:left w:w="80" w:type="dxa"/>
              <w:right w:w="80" w:type="dxa"/>
            </w:tcMar>
          </w:tcPr>
          <w:p>
            <w:pPr>
              <w:keepNext w:val="0"/>
              <w:spacing w:after="0" w:line="271" w:lineRule="auto"/>
            </w:pPr>
            <w:r>
              <w:rPr>
                <w:b w:val="0"/>
                <w:sz w:val="18"/>
              </w:rPr>
              <w:t>不可比对LTR记不可评估；低深度不做footprinting；小样本保留简单模型</w:t>
            </w:r>
          </w:p>
        </w:tc>
      </w:tr>
      <w:tr>
        <w:trPr>
          <w:cantSplit/>
        </w:trPr>
        <w:tc>
          <w:tcPr>
            <w:tcW w:type="dxa" w:w="1531"/>
            <w:vAlign w:val="center"/>
            <w:shd w:fill="FFFFFF"/>
            <w:tcMar>
              <w:top w:w="80" w:type="dxa"/>
              <w:bottom w:w="80" w:type="dxa"/>
              <w:left w:w="80" w:type="dxa"/>
              <w:right w:w="80" w:type="dxa"/>
            </w:tcMar>
          </w:tcPr>
          <w:p>
            <w:pPr>
              <w:keepNext w:val="0"/>
              <w:spacing w:after="0" w:line="271" w:lineRule="auto"/>
            </w:pPr>
            <w:r>
              <w:rPr>
                <w:b w:val="0"/>
                <w:sz w:val="18"/>
              </w:rPr>
              <w:t>解释并复核功能</w:t>
            </w:r>
          </w:p>
        </w:tc>
        <w:tc>
          <w:tcPr>
            <w:tcW w:type="dxa" w:w="2381"/>
            <w:vAlign w:val="center"/>
            <w:shd w:fill="FFFFFF"/>
            <w:tcMar>
              <w:top w:w="80" w:type="dxa"/>
              <w:bottom w:w="80" w:type="dxa"/>
              <w:left w:w="80" w:type="dxa"/>
              <w:right w:w="80" w:type="dxa"/>
            </w:tcMar>
          </w:tcPr>
          <w:p>
            <w:pPr>
              <w:keepNext w:val="0"/>
              <w:spacing w:after="0" w:line="271" w:lineRule="auto"/>
            </w:pPr>
            <w:r>
              <w:rPr>
                <w:b w:val="0"/>
                <w:sz w:val="18"/>
              </w:rPr>
              <w:t>供体级相关；WGCNA；clusterProfiler/fgsea；独立队列</w:t>
            </w:r>
          </w:p>
        </w:tc>
        <w:tc>
          <w:tcPr>
            <w:tcW w:type="dxa" w:w="2665"/>
            <w:vAlign w:val="center"/>
            <w:shd w:fill="FFFFFF"/>
            <w:tcMar>
              <w:top w:w="80" w:type="dxa"/>
              <w:bottom w:w="80" w:type="dxa"/>
              <w:left w:w="80" w:type="dxa"/>
              <w:right w:w="80" w:type="dxa"/>
            </w:tcMar>
          </w:tcPr>
          <w:p>
            <w:pPr>
              <w:keepNext w:val="0"/>
              <w:spacing w:after="0" w:line="271" w:lineRule="auto"/>
            </w:pPr>
            <w:r>
              <w:rPr>
                <w:b w:val="0"/>
                <w:sz w:val="18"/>
              </w:rPr>
              <w:t>可复核的gene模块和通路关联</w:t>
            </w:r>
          </w:p>
        </w:tc>
        <w:tc>
          <w:tcPr>
            <w:tcW w:type="dxa" w:w="2494"/>
            <w:vAlign w:val="center"/>
            <w:shd w:fill="FFFFFF"/>
            <w:tcMar>
              <w:top w:w="80" w:type="dxa"/>
              <w:bottom w:w="80" w:type="dxa"/>
              <w:left w:w="80" w:type="dxa"/>
              <w:right w:w="80" w:type="dxa"/>
            </w:tcMar>
          </w:tcPr>
          <w:p>
            <w:pPr>
              <w:keepNext w:val="0"/>
              <w:spacing w:after="0" w:line="271" w:lineRule="auto"/>
            </w:pPr>
            <w:r>
              <w:rPr>
                <w:b w:val="0"/>
                <w:sz w:val="18"/>
              </w:rPr>
              <w:t>模块不稳时使用预定义基因集；文献不一致先检查分析口径</w:t>
            </w:r>
          </w:p>
        </w:tc>
      </w:tr>
      <w:tr>
        <w:trPr>
          <w:cantSplit/>
        </w:trPr>
        <w:tc>
          <w:tcPr>
            <w:tcW w:type="dxa" w:w="1531"/>
            <w:vAlign w:val="center"/>
            <w:shd w:fill="FFFFFF"/>
            <w:tcMar>
              <w:top w:w="80" w:type="dxa"/>
              <w:bottom w:w="80" w:type="dxa"/>
              <w:left w:w="80" w:type="dxa"/>
              <w:right w:w="80" w:type="dxa"/>
            </w:tcMar>
          </w:tcPr>
          <w:p>
            <w:pPr>
              <w:keepNext w:val="0"/>
              <w:spacing w:after="0" w:line="271" w:lineRule="auto"/>
            </w:pPr>
            <w:r>
              <w:rPr>
                <w:b w:val="0"/>
                <w:sz w:val="18"/>
              </w:rPr>
              <w:t>评价遗传支持</w:t>
            </w:r>
          </w:p>
        </w:tc>
        <w:tc>
          <w:tcPr>
            <w:tcW w:type="dxa" w:w="2381"/>
            <w:vAlign w:val="center"/>
            <w:shd w:fill="FFFFFF"/>
            <w:tcMar>
              <w:top w:w="80" w:type="dxa"/>
              <w:bottom w:w="80" w:type="dxa"/>
              <w:left w:w="80" w:type="dxa"/>
              <w:right w:w="80" w:type="dxa"/>
            </w:tcMar>
          </w:tcPr>
          <w:p>
            <w:pPr>
              <w:keepNext w:val="0"/>
              <w:spacing w:after="0" w:line="271" w:lineRule="auto"/>
            </w:pPr>
            <w:r>
              <w:rPr>
                <w:b w:val="0"/>
                <w:sz w:val="18"/>
              </w:rPr>
              <w:t>CMC权重＋FUSION/FOCUS；SingleBrain；条件性coloc/SMR</w:t>
            </w:r>
          </w:p>
        </w:tc>
        <w:tc>
          <w:tcPr>
            <w:tcW w:type="dxa" w:w="2665"/>
            <w:vAlign w:val="center"/>
            <w:shd w:fill="FFFFFF"/>
            <w:tcMar>
              <w:top w:w="80" w:type="dxa"/>
              <w:bottom w:w="80" w:type="dxa"/>
              <w:left w:w="80" w:type="dxa"/>
              <w:right w:w="80" w:type="dxa"/>
            </w:tcMar>
          </w:tcPr>
          <w:p>
            <w:pPr>
              <w:keepNext w:val="0"/>
              <w:spacing w:after="0" w:line="271" w:lineRule="auto"/>
            </w:pPr>
            <w:r>
              <w:rPr>
                <w:b w:val="0"/>
                <w:sz w:val="18"/>
              </w:rPr>
              <w:t>已覆盖候选的风险关联、条件结果及缺失清单</w:t>
            </w:r>
          </w:p>
        </w:tc>
        <w:tc>
          <w:tcPr>
            <w:tcW w:type="dxa" w:w="2494"/>
            <w:vAlign w:val="center"/>
            <w:shd w:fill="FFFFFF"/>
            <w:tcMar>
              <w:top w:w="80" w:type="dxa"/>
              <w:bottom w:w="80" w:type="dxa"/>
              <w:left w:w="80" w:type="dxa"/>
              <w:right w:w="80" w:type="dxa"/>
            </w:tcMar>
          </w:tcPr>
          <w:p>
            <w:pPr>
              <w:keepNext w:val="0"/>
              <w:spacing w:after="0" w:line="271" w:lineRule="auto"/>
            </w:pPr>
            <w:r>
              <w:rPr>
                <w:b w:val="0"/>
                <w:sz w:val="18"/>
              </w:rPr>
              <w:t>SERVE缺完整summary时不运行相应分析；无权重候选不判阴性</w:t>
            </w:r>
          </w:p>
        </w:tc>
      </w:tr>
    </w:tbl>
    <w:p>
      <w:pPr>
        <w:spacing w:after="0" w:line="120" w:lineRule="auto"/>
      </w:pPr>
      <w:r>
        <w:rPr>
          <w:sz w:val="6"/>
        </w:rPr>
      </w:r>
    </w:p>
    <w:p>
      <w:r>
        <w:rPr>
          <w:b w:val="0"/>
        </w:rPr>
        <w:t>将SEA-AD、新基因型、靶向长读长及实验干预列为扩展，而不以等待它们作为启动条件。DNA/RNA基础模型仅在候选和具体预测目标确定后引入：例如比较LTR序列变异的调控预测，或RNA结构变化的计算提示。模型分数用于优先级排序，需对重复序列、训练集覆盖与独立验证作检查；当前约15位配对供体不适合训练高维表达预测模型，也不将AI模型作为本proposal的必要成果。</w:t>
      </w:r>
    </w:p>
    <w:p>
      <w:pPr>
        <w:pStyle w:val="Heading1"/>
      </w:pPr>
      <w:r>
        <w:t>六 审核修正记录</w:t>
      </w:r>
    </w:p>
    <w:p>
      <w:r>
        <w:rPr>
          <w:b w:val="0"/>
        </w:rPr>
        <w:t>本版依据分享对话正文、当前上传的研究计划和数据清单，以及可访问的原始论文、GEO记录与工具文档整合。以下记录便于核对前后版本，正式提交时可移至附录或删除。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3515"/>
        <w:gridCol w:w="3798"/>
      </w:tblGrid>
      <w:tr>
        <w:trPr>
          <w:cantSplit/>
          <w:tblHeader/>
        </w:trPr>
        <w:tc>
          <w:tcPr>
            <w:tcW w:type="dxa" w:w="2324"/>
            <w:vAlign w:val="center"/>
            <w:shd w:fill="E6EDF3"/>
            <w:tcMar>
              <w:top w:w="80" w:type="dxa"/>
              <w:bottom w:w="80" w:type="dxa"/>
              <w:left w:w="80" w:type="dxa"/>
              <w:right w:w="80" w:type="dxa"/>
            </w:tcMar>
          </w:tcPr>
          <w:p>
            <w:pPr>
              <w:keepNext w:val="0"/>
              <w:spacing w:after="0" w:line="271" w:lineRule="auto"/>
              <w:jc w:val="center"/>
            </w:pPr>
            <w:r>
              <w:rPr>
                <w:b/>
                <w:sz w:val="18"/>
              </w:rPr>
              <w:t>原记录或表述</w:t>
            </w:r>
          </w:p>
        </w:tc>
        <w:tc>
          <w:tcPr>
            <w:tcW w:type="dxa" w:w="3515"/>
            <w:vAlign w:val="center"/>
            <w:shd w:fill="E6EDF3"/>
            <w:tcMar>
              <w:top w:w="80" w:type="dxa"/>
              <w:bottom w:w="80" w:type="dxa"/>
              <w:left w:w="80" w:type="dxa"/>
              <w:right w:w="80" w:type="dxa"/>
            </w:tcMar>
          </w:tcPr>
          <w:p>
            <w:pPr>
              <w:keepNext w:val="0"/>
              <w:spacing w:after="0" w:line="271" w:lineRule="auto"/>
              <w:jc w:val="center"/>
            </w:pPr>
            <w:r>
              <w:rPr>
                <w:b/>
                <w:sz w:val="18"/>
              </w:rPr>
              <w:t>本版处理</w:t>
            </w:r>
          </w:p>
        </w:tc>
        <w:tc>
          <w:tcPr>
            <w:tcW w:type="dxa" w:w="3798"/>
            <w:vAlign w:val="center"/>
            <w:shd w:fill="E6EDF3"/>
            <w:tcMar>
              <w:top w:w="80" w:type="dxa"/>
              <w:bottom w:w="80" w:type="dxa"/>
              <w:left w:w="80" w:type="dxa"/>
              <w:right w:w="80" w:type="dxa"/>
            </w:tcMar>
          </w:tcPr>
          <w:p>
            <w:pPr>
              <w:keepNext w:val="0"/>
              <w:spacing w:after="0" w:line="271" w:lineRule="auto"/>
              <w:jc w:val="center"/>
            </w:pPr>
            <w:r>
              <w:rPr>
                <w:b/>
                <w:sz w:val="18"/>
              </w:rPr>
              <w:t>核查依据或原因</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GSE282551为16AD＋14精神分裂症</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改为16健康对照＋14精神分裂症</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实际读取30个GSM的disease state字段；仅作为结构参考</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96位供体统一做AD/对照及全部细胞类型分析</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拆为54位名义病例对照与42位BA9病理框架</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BA9经subject去重为17低、10中、15高；含富集文库，需按细胞类型核定N</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SERVE的S8/S9可能含可用eQTL表</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明确当前补充表不能用于重新运行QTL整合</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S8为数量，S9为组织配对，S12为共定位结果；无逐SNP beta/SE</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两端LTR有reads即可确定全长</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覆盖只作初筛；增加分子连接与端点等级</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群体覆盖不能证明同一RNA；RNA边界不等于两端完整DNA LTR</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bambu可以统一处理所有启动和终止变化</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增加单外显子与端点差异专门复核</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起止位置差异可能被合并；HERV未剪接RNA不可遗漏</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结构明确后即可在10x中定位该isoform</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仅独特3′片段或特异连接支持isoform归属</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共享序列只能支持位点或转录本组</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motif、开放性、相关性证明TF驱动</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改为调控关联及待验证机制</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缺少直接结合或干预证据；chromVAR衡量motif相关可及性</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某脑区不显著即脑区特异；gene显著即排除HERV</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检查效应差异、功效及资源覆盖</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显著性差异不等于效应差异，缺数据不等于阴性</w:t>
            </w:r>
          </w:p>
        </w:tc>
      </w:tr>
      <w:tr>
        <w:trPr>
          <w:cantSplit/>
        </w:trPr>
        <w:tc>
          <w:tcPr>
            <w:tcW w:type="dxa" w:w="2324"/>
            <w:vAlign w:val="center"/>
            <w:shd w:fill="FFFFFF"/>
            <w:tcMar>
              <w:top w:w="80" w:type="dxa"/>
              <w:bottom w:w="80" w:type="dxa"/>
              <w:left w:w="80" w:type="dxa"/>
              <w:right w:w="80" w:type="dxa"/>
            </w:tcMar>
          </w:tcPr>
          <w:p>
            <w:pPr>
              <w:keepNext w:val="0"/>
              <w:spacing w:after="0" w:line="271" w:lineRule="auto"/>
            </w:pPr>
            <w:r>
              <w:rPr>
                <w:b w:val="0"/>
                <w:sz w:val="18"/>
              </w:rPr>
              <w:t>HERV–gene与gene-eQTL系数相乘估计HERV-eQTL</w:t>
            </w:r>
          </w:p>
        </w:tc>
        <w:tc>
          <w:tcPr>
            <w:tcW w:type="dxa" w:w="3515"/>
            <w:vAlign w:val="center"/>
            <w:shd w:fill="FFFFFF"/>
            <w:tcMar>
              <w:top w:w="80" w:type="dxa"/>
              <w:bottom w:w="80" w:type="dxa"/>
              <w:left w:w="80" w:type="dxa"/>
              <w:right w:w="80" w:type="dxa"/>
            </w:tcMar>
          </w:tcPr>
          <w:p>
            <w:pPr>
              <w:keepNext w:val="0"/>
              <w:spacing w:after="0" w:line="271" w:lineRule="auto"/>
            </w:pPr>
            <w:r>
              <w:rPr>
                <w:b w:val="0"/>
                <w:sz w:val="18"/>
              </w:rPr>
              <w:t>删除该正式分析路线</w:t>
            </w:r>
          </w:p>
        </w:tc>
        <w:tc>
          <w:tcPr>
            <w:tcW w:type="dxa" w:w="3798"/>
            <w:vAlign w:val="center"/>
            <w:shd w:fill="FFFFFF"/>
            <w:tcMar>
              <w:top w:w="80" w:type="dxa"/>
              <w:bottom w:w="80" w:type="dxa"/>
              <w:left w:w="80" w:type="dxa"/>
              <w:right w:w="80" w:type="dxa"/>
            </w:tcMar>
          </w:tcPr>
          <w:p>
            <w:pPr>
              <w:keepNext w:val="0"/>
              <w:spacing w:after="0" w:line="271" w:lineRule="auto"/>
            </w:pPr>
            <w:r>
              <w:rPr>
                <w:b w:val="0"/>
                <w:sz w:val="18"/>
              </w:rPr>
              <w:t>无法识别因果方向与混杂，效应尺度和不确定性不匹配</w:t>
            </w:r>
          </w:p>
        </w:tc>
      </w:tr>
    </w:tbl>
    <w:p>
      <w:pPr>
        <w:spacing w:after="0" w:line="120" w:lineRule="auto"/>
      </w:pPr>
      <w:r>
        <w:rPr>
          <w:sz w:val="6"/>
        </w:rPr>
      </w:r>
    </w:p>
    <w:p>
      <w:r>
        <w:rPr>
          <w:b w:val="0"/>
        </w:rPr>
        <w:t>分享对话中提到既有AD rTWAS的具体HERVL32_7q22.1条件分析结论，本版未将该具体结果作为研究前提；引用前仍需核对对应研究全文与结果表。HERVarium的bioRxiv全文此次未成功获取，其可实施功能以作者公开仓库及数据说明为核查依据，不把未读到的正文细节写成已验证事实。数据下载前还需完成跨项目供体重叠、部分临床协变量及所有原始文库可获取性的核对。</w:t>
      </w:r>
    </w:p>
    <w:p>
      <w:pPr>
        <w:pStyle w:val="Heading1"/>
        <w:pageBreakBefore/>
      </w:pPr>
      <w:r>
        <w:t>参考文献与工具入口</w:t>
      </w:r>
    </w:p>
    <w:p>
      <w:pPr>
        <w:spacing w:line="274" w:lineRule="auto"/>
      </w:pPr>
      <w:r>
        <w:rPr>
          <w:b w:val="0"/>
          <w:sz w:val="18"/>
        </w:rPr>
        <w:t>[1] 本项目数据设计：各GEO/SRA入口见数据总表。GSE263468的BA9人数与分组、GSE282551的分组由2026年9月17日获取的GEO样本SOFT记录核对。</w:t>
      </w:r>
    </w:p>
    <w:p>
      <w:pPr>
        <w:spacing w:line="274" w:lineRule="auto"/>
      </w:pPr>
      <w:r>
        <w:rPr>
          <w:b w:val="0"/>
          <w:sz w:val="18"/>
        </w:rPr>
        <w:t>[2] A single-cell transposable element atlas of human cell identity. 论文及Stellarscope方法：</w:t>
      </w:r>
      <w:hyperlink r:id="rId26">
        <w:r>
          <w:rPr>
            <w:color w:val="24476A"/>
            <w:rFonts w:ascii="Calibri" w:eastAsia="Noto Sans CJK SC"/>
          </w:rPr>
          <w:t>论文</w:t>
        </w:r>
      </w:hyperlink>
      <w:r>
        <w:rPr>
          <w:b w:val="0"/>
          <w:sz w:val="18"/>
        </w:rPr>
        <w:t>；本项目另核对用户上传PDF中的多重比对、UMI及gene/TE共享计数处理。</w:t>
      </w:r>
    </w:p>
    <w:p>
      <w:pPr>
        <w:spacing w:line="274" w:lineRule="auto"/>
      </w:pPr>
      <w:r>
        <w:rPr>
          <w:b w:val="0"/>
          <w:sz w:val="18"/>
        </w:rPr>
        <w:t xml:space="preserve">[3] </w:t>
      </w:r>
      <w:hyperlink r:id="rId27">
        <w:r>
          <w:rPr>
            <w:color w:val="24476A"/>
            <w:rFonts w:ascii="Calibri" w:eastAsia="Noto Sans CJK SC"/>
          </w:rPr>
          <w:t>limma用户指南</w:t>
        </w:r>
      </w:hyperlink>
      <w:r>
        <w:rPr>
          <w:b w:val="0"/>
          <w:sz w:val="18"/>
        </w:rPr>
        <w:t>；</w:t>
      </w:r>
      <w:hyperlink r:id="rId28">
        <w:r>
          <w:rPr>
            <w:color w:val="24476A"/>
            <w:rFonts w:ascii="Calibri" w:eastAsia="Noto Sans CJK SC"/>
          </w:rPr>
          <w:t>edgeR用户指南</w:t>
        </w:r>
      </w:hyperlink>
      <w:r>
        <w:rPr>
          <w:b w:val="0"/>
          <w:sz w:val="18"/>
        </w:rPr>
        <w:t>。供体级模型、协变量与验证规则为本项目拟定方案。</w:t>
      </w:r>
    </w:p>
    <w:p>
      <w:pPr>
        <w:spacing w:line="274" w:lineRule="auto"/>
      </w:pPr>
      <w:r>
        <w:rPr>
          <w:b w:val="0"/>
          <w:sz w:val="18"/>
        </w:rPr>
        <w:t>[4] Heberle等. Mapping medically relevant RNA isoform diversity in the aged human frontal cortex with deep long-read RNA-seq. Nature Biotechnology，2024在线发表，2025卷期。</w:t>
      </w:r>
      <w:hyperlink r:id="rId29">
        <w:r>
          <w:rPr>
            <w:color w:val="24476A"/>
            <w:rFonts w:ascii="Calibri" w:eastAsia="Noto Sans CJK SC"/>
          </w:rPr>
          <w:t>原文</w:t>
        </w:r>
      </w:hyperlink>
      <w:r>
        <w:rPr>
          <w:b w:val="0"/>
          <w:sz w:val="18"/>
        </w:rPr>
        <w:t>。</w:t>
      </w:r>
    </w:p>
    <w:p>
      <w:pPr>
        <w:spacing w:line="274" w:lineRule="auto"/>
      </w:pPr>
      <w:r>
        <w:rPr>
          <w:b w:val="0"/>
          <w:sz w:val="18"/>
        </w:rPr>
        <w:t xml:space="preserve">[5] </w:t>
      </w:r>
      <w:hyperlink r:id="rId30">
        <w:r>
          <w:rPr>
            <w:color w:val="24476A"/>
            <w:rFonts w:ascii="Calibri" w:eastAsia="Noto Sans CJK SC"/>
          </w:rPr>
          <w:t>bambu</w:t>
        </w:r>
      </w:hyperlink>
      <w:r>
        <w:rPr>
          <w:b w:val="0"/>
          <w:sz w:val="18"/>
        </w:rPr>
        <w:t>；</w:t>
      </w:r>
      <w:hyperlink r:id="rId31">
        <w:r>
          <w:rPr>
            <w:color w:val="24476A"/>
            <w:rFonts w:ascii="Calibri" w:eastAsia="Noto Sans CJK SC"/>
          </w:rPr>
          <w:t>SQANTI3</w:t>
        </w:r>
      </w:hyperlink>
      <w:r>
        <w:rPr>
          <w:b w:val="0"/>
          <w:sz w:val="18"/>
        </w:rPr>
        <w:t>；</w:t>
      </w:r>
      <w:hyperlink r:id="rId32">
        <w:r>
          <w:rPr>
            <w:color w:val="24476A"/>
            <w:rFonts w:ascii="Calibri" w:eastAsia="Noto Sans CJK SC"/>
          </w:rPr>
          <w:t>FLAIR</w:t>
        </w:r>
      </w:hyperlink>
      <w:r>
        <w:rPr>
          <w:b w:val="0"/>
          <w:sz w:val="18"/>
        </w:rPr>
        <w:t>。安装时固定经试跑验证的版本及参数。</w:t>
      </w:r>
    </w:p>
    <w:p>
      <w:pPr>
        <w:spacing w:line="274" w:lineRule="auto"/>
      </w:pPr>
      <w:r>
        <w:rPr>
          <w:b w:val="0"/>
          <w:sz w:val="18"/>
        </w:rPr>
        <w:t xml:space="preserve">[6] </w:t>
      </w:r>
      <w:hyperlink r:id="rId33">
        <w:r>
          <w:rPr>
            <w:color w:val="24476A"/>
            <w:rFonts w:ascii="Calibri" w:eastAsia="Noto Sans CJK SC"/>
          </w:rPr>
          <w:t>ESPRESSO</w:t>
        </w:r>
      </w:hyperlink>
      <w:r>
        <w:rPr>
          <w:b w:val="0"/>
          <w:sz w:val="18"/>
        </w:rPr>
        <w:t>。用于长读长剪接纠错及结构分析的备选工具。</w:t>
      </w:r>
    </w:p>
    <w:p>
      <w:pPr>
        <w:spacing w:line="274" w:lineRule="auto"/>
      </w:pPr>
      <w:r>
        <w:rPr>
          <w:b w:val="0"/>
          <w:sz w:val="18"/>
        </w:rPr>
        <w:t>[7] Rabson与Graves. Synthesis and Processing of Viral RNA. Retroviruses.</w:t>
      </w:r>
      <w:hyperlink r:id="rId34">
        <w:r>
          <w:rPr>
            <w:color w:val="24476A"/>
            <w:rFonts w:ascii="Calibri" w:eastAsia="Noto Sans CJK SC"/>
          </w:rPr>
          <w:t>章节</w:t>
        </w:r>
      </w:hyperlink>
      <w:r>
        <w:rPr>
          <w:b w:val="0"/>
          <w:sz w:val="18"/>
        </w:rPr>
        <w:t>。用于解释DNA LTR和RNA转录边界的区别。</w:t>
      </w:r>
    </w:p>
    <w:p>
      <w:pPr>
        <w:spacing w:line="274" w:lineRule="auto"/>
      </w:pPr>
      <w:r>
        <w:rPr>
          <w:b w:val="0"/>
          <w:sz w:val="18"/>
        </w:rPr>
        <w:t>[8] Montserrat-Ayuso等. Regulatory Features and Functional Specialization of Human Endogenous Retroviral LTRs: A Genome-Wide Annotation and Analysis via HERVarium. bioRxiv，2026。</w:t>
      </w:r>
      <w:hyperlink r:id="rId35">
        <w:r>
          <w:rPr>
            <w:color w:val="24476A"/>
            <w:rFonts w:ascii="Calibri" w:eastAsia="Noto Sans CJK SC"/>
          </w:rPr>
          <w:t>预印本</w:t>
        </w:r>
      </w:hyperlink>
      <w:r>
        <w:rPr>
          <w:b w:val="0"/>
          <w:sz w:val="18"/>
        </w:rPr>
        <w:t>；</w:t>
      </w:r>
      <w:hyperlink r:id="rId25">
        <w:r>
          <w:rPr>
            <w:color w:val="24476A"/>
            <w:rFonts w:ascii="Calibri" w:eastAsia="Noto Sans CJK SC"/>
          </w:rPr>
          <w:t>作者LTR仓库</w:t>
        </w:r>
      </w:hyperlink>
      <w:r>
        <w:rPr>
          <w:b w:val="0"/>
          <w:sz w:val="18"/>
        </w:rPr>
        <w:t>；</w:t>
      </w:r>
      <w:hyperlink r:id="rId36">
        <w:r>
          <w:rPr>
            <w:color w:val="24476A"/>
            <w:rFonts w:ascii="Calibri" w:eastAsia="Noto Sans CJK SC"/>
          </w:rPr>
          <w:t>LTR数据</w:t>
        </w:r>
      </w:hyperlink>
      <w:r>
        <w:rPr>
          <w:b w:val="0"/>
          <w:sz w:val="18"/>
        </w:rPr>
        <w:t>。</w:t>
      </w:r>
    </w:p>
    <w:p>
      <w:pPr>
        <w:spacing w:line="274" w:lineRule="auto"/>
      </w:pPr>
      <w:r>
        <w:rPr>
          <w:b w:val="0"/>
          <w:sz w:val="18"/>
        </w:rPr>
        <w:t>[9] Duarte等. Integrating human endogenous retroviruses into transcriptome-wide association studies highlights novel risk factors for major psychiatric conditions. Nature Communications，2024。</w:t>
      </w:r>
      <w:hyperlink r:id="rId37">
        <w:r>
          <w:rPr>
            <w:color w:val="24476A"/>
            <w:rFonts w:ascii="Calibri" w:eastAsia="Noto Sans CJK SC"/>
          </w:rPr>
          <w:t>原文</w:t>
        </w:r>
      </w:hyperlink>
      <w:r>
        <w:rPr>
          <w:b w:val="0"/>
          <w:sz w:val="18"/>
        </w:rPr>
        <w:t>；</w:t>
      </w:r>
      <w:hyperlink r:id="rId21">
        <w:r>
          <w:rPr>
            <w:color w:val="24476A"/>
            <w:rFonts w:ascii="Calibri" w:eastAsia="Noto Sans CJK SC"/>
          </w:rPr>
          <w:t>权重与参考资源</w:t>
        </w:r>
      </w:hyperlink>
      <w:r>
        <w:rPr>
          <w:b w:val="0"/>
          <w:sz w:val="18"/>
        </w:rPr>
        <w:t>；</w:t>
      </w:r>
      <w:hyperlink r:id="rId38">
        <w:r>
          <w:rPr>
            <w:color w:val="24476A"/>
            <w:rFonts w:ascii="Calibri" w:eastAsia="Noto Sans CJK SC"/>
          </w:rPr>
          <w:t>作者rTWAS教程</w:t>
        </w:r>
      </w:hyperlink>
      <w:r>
        <w:rPr>
          <w:b w:val="0"/>
          <w:sz w:val="18"/>
        </w:rPr>
        <w:t>。</w:t>
      </w:r>
    </w:p>
    <w:p>
      <w:pPr>
        <w:spacing w:line="274" w:lineRule="auto"/>
      </w:pPr>
      <w:r>
        <w:rPr>
          <w:b w:val="0"/>
          <w:sz w:val="18"/>
        </w:rPr>
        <w:t>[10] She等. The landscape of hervRNAs transcribed from human endogenous retroviruses across human body sites. Genome Biology，2022。</w:t>
      </w:r>
      <w:hyperlink r:id="rId22">
        <w:r>
          <w:rPr>
            <w:color w:val="24476A"/>
            <w:rFonts w:ascii="Calibri" w:eastAsia="Noto Sans CJK SC"/>
          </w:rPr>
          <w:t>原文及补充表</w:t>
        </w:r>
      </w:hyperlink>
      <w:r>
        <w:rPr>
          <w:b w:val="0"/>
          <w:sz w:val="18"/>
        </w:rPr>
        <w:t>；</w:t>
      </w:r>
      <w:hyperlink r:id="rId39">
        <w:r>
          <w:rPr>
            <w:color w:val="24476A"/>
            <w:rFonts w:ascii="Calibri" w:eastAsia="Noto Sans CJK SC"/>
          </w:rPr>
          <w:t>SERVE代码</w:t>
        </w:r>
      </w:hyperlink>
      <w:r>
        <w:rPr>
          <w:b w:val="0"/>
          <w:sz w:val="18"/>
        </w:rPr>
        <w:t>。本次已下载并检查Additional file 2的S8、S9和S12。</w:t>
      </w:r>
    </w:p>
    <w:p>
      <w:pPr>
        <w:spacing w:line="274" w:lineRule="auto"/>
      </w:pPr>
      <w:r>
        <w:rPr>
          <w:b w:val="0"/>
          <w:sz w:val="18"/>
        </w:rPr>
        <w:t>[11] Single-cell eQTL mapping of human endogenous retroviruses reveals cell type-specific genetic regulation in autoimmune diseases. Nature Communications，2025。</w:t>
      </w:r>
      <w:hyperlink r:id="rId40">
        <w:r>
          <w:rPr>
            <w:color w:val="24476A"/>
            <w:rFonts w:ascii="Calibri" w:eastAsia="Noto Sans CJK SC"/>
          </w:rPr>
          <w:t>原文</w:t>
        </w:r>
      </w:hyperlink>
      <w:r>
        <w:rPr>
          <w:b w:val="0"/>
          <w:sz w:val="18"/>
        </w:rPr>
        <w:t>。上传文件名中的“2024”与论文实际发表年份不同。</w:t>
      </w:r>
    </w:p>
    <w:p>
      <w:pPr>
        <w:spacing w:line="274" w:lineRule="auto"/>
      </w:pPr>
      <w:r>
        <w:rPr>
          <w:b w:val="0"/>
          <w:sz w:val="18"/>
        </w:rPr>
        <w:t xml:space="preserve">[12] </w:t>
      </w:r>
      <w:hyperlink r:id="rId41">
        <w:r>
          <w:rPr>
            <w:color w:val="24476A"/>
            <w:rFonts w:ascii="Calibri" w:eastAsia="Noto Sans CJK SC"/>
          </w:rPr>
          <w:t>coloc数据输入说明</w:t>
        </w:r>
      </w:hyperlink>
      <w:r>
        <w:rPr>
          <w:b w:val="0"/>
          <w:sz w:val="18"/>
        </w:rPr>
        <w:t>；</w:t>
      </w:r>
      <w:hyperlink r:id="rId42">
        <w:r>
          <w:rPr>
            <w:color w:val="24476A"/>
            <w:rFonts w:ascii="Calibri" w:eastAsia="Noto Sans CJK SC"/>
          </w:rPr>
          <w:t>多信号coloc与SuSiE</w:t>
        </w:r>
      </w:hyperlink>
      <w:r>
        <w:rPr>
          <w:b w:val="0"/>
          <w:sz w:val="18"/>
        </w:rPr>
        <w:t>。</w:t>
      </w:r>
    </w:p>
    <w:p>
      <w:pPr>
        <w:spacing w:line="274" w:lineRule="auto"/>
      </w:pPr>
      <w:r>
        <w:rPr>
          <w:b w:val="0"/>
          <w:sz w:val="18"/>
        </w:rPr>
        <w:t xml:space="preserve">[13] </w:t>
      </w:r>
      <w:hyperlink r:id="rId43">
        <w:r>
          <w:rPr>
            <w:color w:val="24476A"/>
            <w:rFonts w:ascii="Calibri" w:eastAsia="Noto Sans CJK SC"/>
          </w:rPr>
          <w:t>SMR与HEIDI官方说明</w:t>
        </w:r>
      </w:hyperlink>
      <w:r>
        <w:rPr>
          <w:b w:val="0"/>
          <w:sz w:val="18"/>
        </w:rPr>
        <w:t>。使用时记录工具强度、LD、等位基因QC及HEIDI有效SNP数。</w:t>
      </w:r>
    </w:p>
    <w:p>
      <w:pPr>
        <w:spacing w:line="274" w:lineRule="auto"/>
      </w:pPr>
      <w:r>
        <w:rPr>
          <w:b w:val="0"/>
          <w:sz w:val="18"/>
        </w:rPr>
        <w:t>[14] A meta-analysis of single-nucleus expression quantitative trait loci linking genetic risk to brain disorders. Nature Genetics，2026。</w:t>
      </w:r>
      <w:hyperlink r:id="rId44">
        <w:r>
          <w:rPr>
            <w:color w:val="24476A"/>
            <w:rFonts w:ascii="Calibri" w:eastAsia="Noto Sans CJK SC"/>
          </w:rPr>
          <w:t>SingleBrain论文</w:t>
        </w:r>
      </w:hyperlink>
      <w:r>
        <w:rPr>
          <w:b w:val="0"/>
          <w:sz w:val="18"/>
        </w:rPr>
        <w:t>；</w:t>
      </w:r>
      <w:hyperlink r:id="rId45">
        <w:r>
          <w:rPr>
            <w:color w:val="24476A"/>
            <w:rFonts w:ascii="Calibri" w:eastAsia="Noto Sans CJK SC"/>
          </w:rPr>
          <w:t>cis-eQTL下载入口</w:t>
        </w:r>
      </w:hyperlink>
      <w:r>
        <w:rPr>
          <w:b w:val="0"/>
          <w:sz w:val="18"/>
        </w:rPr>
        <w:t>；</w:t>
      </w:r>
      <w:hyperlink r:id="rId46">
        <w:r>
          <w:rPr>
            <w:color w:val="24476A"/>
            <w:rFonts w:ascii="Calibri" w:eastAsia="Noto Sans CJK SC"/>
          </w:rPr>
          <w:t>浏览器</w:t>
        </w:r>
      </w:hyperlink>
      <w:r>
        <w:rPr>
          <w:b w:val="0"/>
          <w:sz w:val="18"/>
        </w:rPr>
        <w:t>。</w:t>
      </w:r>
    </w:p>
    <w:p>
      <w:pPr>
        <w:spacing w:line="274" w:lineRule="auto"/>
      </w:pPr>
      <w:r>
        <w:rPr>
          <w:b w:val="0"/>
          <w:sz w:val="18"/>
        </w:rPr>
        <w:t>[15] Bellenguez等. New insights into the genetic etiology of Alzheimer’s disease and related dementias. Nature Genetics，2022。</w:t>
      </w:r>
      <w:hyperlink r:id="rId47">
        <w:r>
          <w:rPr>
            <w:color w:val="24476A"/>
            <w:rFonts w:ascii="Calibri" w:eastAsia="Noto Sans CJK SC"/>
          </w:rPr>
          <w:t>原文</w:t>
        </w:r>
      </w:hyperlink>
      <w:r>
        <w:rPr>
          <w:b w:val="0"/>
          <w:sz w:val="18"/>
        </w:rPr>
        <w:t>；</w:t>
      </w:r>
      <w:hyperlink r:id="rId23">
        <w:r>
          <w:rPr>
            <w:color w:val="24476A"/>
            <w:rFonts w:ascii="Calibri" w:eastAsia="Noto Sans CJK SC"/>
          </w:rPr>
          <w:t>GCST90027158</w:t>
        </w:r>
      </w:hyperlink>
      <w:r>
        <w:rPr>
          <w:b w:val="0"/>
          <w:sz w:val="18"/>
        </w:rPr>
        <w:t>。</w:t>
      </w:r>
    </w:p>
    <w:p>
      <w:pPr>
        <w:spacing w:line="274" w:lineRule="auto"/>
      </w:pPr>
      <w:r>
        <w:rPr>
          <w:b w:val="0"/>
          <w:sz w:val="18"/>
        </w:rPr>
        <w:t>[16] Morabito等. Single-nucleus chromatin accessibility and transcriptomic characterization of Alzheimer’s disease. Nature Genetics，2021。</w:t>
      </w:r>
      <w:hyperlink r:id="rId48">
        <w:r>
          <w:rPr>
            <w:color w:val="24476A"/>
            <w:rFonts w:ascii="Calibri" w:eastAsia="Noto Sans CJK SC"/>
          </w:rPr>
          <w:t>原文</w:t>
        </w:r>
      </w:hyperlink>
      <w:r>
        <w:rPr>
          <w:b w:val="0"/>
          <w:sz w:val="18"/>
        </w:rPr>
        <w:t>。</w:t>
      </w:r>
    </w:p>
    <w:sectPr w:rsidR="00FC693F" w:rsidRPr="0006063C" w:rsidSect="00034616">
      <w:headerReference w:type="default" r:id="rId9"/>
      <w:footerReference w:type="default" r:id="rId10"/>
      <w:pgSz w:w="11906" w:h="16838"/>
      <w:pgMar w:top="1134" w:right="1134" w:bottom="107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审核整合版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AD皮层HERV研究计划书</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5" w:lineRule="auto" w:after="120"/>
      <w:autoSpaceDE w:val="0"/>
      <w:autoSpaceDN w:val="0"/>
    </w:pPr>
    <w:rPr>
      <w:rFonts w:ascii="Calibri" w:hAnsi="Calibri" w:eastAsia="Noto Sans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autoSpaceDE w:val="0"/>
      <w:autoSpaceDN w:val="0"/>
    </w:pPr>
    <w:rPr>
      <w:rFonts w:ascii="Calibri" w:hAnsi="Calibri" w:eastAsia="Noto Sans CJK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autoSpaceDE w:val="0"/>
      <w:autoSpaceDN w:val="0"/>
    </w:pPr>
    <w:rPr>
      <w:rFonts w:ascii="Calibri" w:hAnsi="Calibri" w:eastAsia="Noto Sans CJK S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69" w:lineRule="auto" w:before="0"/>
      <w:contextualSpacing/>
      <w:autoSpaceDE w:val="0"/>
      <w:autoSpaceDN w:val="0"/>
    </w:pPr>
    <w:rPr>
      <w:rFonts w:ascii="Calibri" w:hAnsi="Calibri" w:eastAsia="Noto Sans CJK SC"/>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autoSpaceDE w:val="0"/>
      <w:autoSpaceDN w:val="0"/>
    </w:pPr>
    <w:rPr>
      <w:rFonts w:ascii="Calibri" w:hAnsi="Calibri" w:eastAsia="Noto Sans CJK SC"/>
      <w:i/>
      <w:iCs/>
      <w:color w:val="000000"/>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cbi.nlm.nih.gov/geo/query/acc.cgi?acc=GSE157827" TargetMode="External"/><Relationship Id="rId12" Type="http://schemas.openxmlformats.org/officeDocument/2006/relationships/hyperlink" Target="https://www.ncbi.nlm.nih.gov/geo/query/acc.cgi?acc=GSE174367" TargetMode="External"/><Relationship Id="rId13" Type="http://schemas.openxmlformats.org/officeDocument/2006/relationships/hyperlink" Target="https://www.ncbi.nlm.nih.gov/geo/query/acc.cgi?acc=GSE214979" TargetMode="External"/><Relationship Id="rId14" Type="http://schemas.openxmlformats.org/officeDocument/2006/relationships/hyperlink" Target="https://www.ncbi.nlm.nih.gov/geo/query/acc.cgi?acc=GSE263468" TargetMode="External"/><Relationship Id="rId15" Type="http://schemas.openxmlformats.org/officeDocument/2006/relationships/hyperlink" Target="https://www.ncbi.nlm.nih.gov/geo/query/acc.cgi?acc=GSE268599" TargetMode="External"/><Relationship Id="rId16" Type="http://schemas.openxmlformats.org/officeDocument/2006/relationships/hyperlink" Target="https://www.ncbi.nlm.nih.gov/geo/query/acc.cgi?acc=GSE222494" TargetMode="External"/><Relationship Id="rId17" Type="http://schemas.openxmlformats.org/officeDocument/2006/relationships/hyperlink" Target="https://www.ncbi.nlm.nih.gov/geo/query/acc.cgi?acc=GSE147528" TargetMode="External"/><Relationship Id="rId18" Type="http://schemas.openxmlformats.org/officeDocument/2006/relationships/hyperlink" Target="https://www.ncbi.nlm.nih.gov/geo/query/acc.cgi?acc=GSE237718" TargetMode="External"/><Relationship Id="rId19" Type="http://schemas.openxmlformats.org/officeDocument/2006/relationships/hyperlink" Target="https://www.ncbi.nlm.nih.gov/Traces/study/?acc=SRP456327" TargetMode="External"/><Relationship Id="rId20" Type="http://schemas.openxmlformats.org/officeDocument/2006/relationships/hyperlink" Target="https://www.ncbi.nlm.nih.gov/geo/query/acc.cgi?acc=GSE282551" TargetMode="External"/><Relationship Id="rId21" Type="http://schemas.openxmlformats.org/officeDocument/2006/relationships/hyperlink" Target="https://doi.org/10.18742/22179655" TargetMode="External"/><Relationship Id="rId22" Type="http://schemas.openxmlformats.org/officeDocument/2006/relationships/hyperlink" Target="https://doi.org/10.1186/s13059-022-02804-w" TargetMode="External"/><Relationship Id="rId23" Type="http://schemas.openxmlformats.org/officeDocument/2006/relationships/hyperlink" Target="https://www.ebi.ac.uk/gwas/studies/GCST90027158" TargetMode="External"/><Relationship Id="rId24" Type="http://schemas.openxmlformats.org/officeDocument/2006/relationships/hyperlink" Target="https://www.nature.com/articles/s41588-026-02541-x" TargetMode="External"/><Relationship Id="rId25" Type="http://schemas.openxmlformats.org/officeDocument/2006/relationships/hyperlink" Target="https://github.com/funcgen/herv-regulatory-map" TargetMode="External"/><Relationship Id="rId26" Type="http://schemas.openxmlformats.org/officeDocument/2006/relationships/hyperlink" Target="https://pmc.ncbi.nlm.nih.gov/articles/PMC12296447/" TargetMode="External"/><Relationship Id="rId27" Type="http://schemas.openxmlformats.org/officeDocument/2006/relationships/hyperlink" Target="https://bioconductor.org/packages/release/bioc/vignettes/limma/inst/doc/usersguide.pdf" TargetMode="External"/><Relationship Id="rId28" Type="http://schemas.openxmlformats.org/officeDocument/2006/relationships/hyperlink" Target="https://bioconductor.org/packages/release/bioc/vignettes/edgeR/inst/doc/edgeRUsersGuide.pdf" TargetMode="External"/><Relationship Id="rId29" Type="http://schemas.openxmlformats.org/officeDocument/2006/relationships/hyperlink" Target="https://doi.org/10.1038/s41587-024-02245-9" TargetMode="External"/><Relationship Id="rId30" Type="http://schemas.openxmlformats.org/officeDocument/2006/relationships/hyperlink" Target="https://github.com/GoekeLab/bambu" TargetMode="External"/><Relationship Id="rId31" Type="http://schemas.openxmlformats.org/officeDocument/2006/relationships/hyperlink" Target="https://github.com/ConesaLab/SQANTI3" TargetMode="External"/><Relationship Id="rId32" Type="http://schemas.openxmlformats.org/officeDocument/2006/relationships/hyperlink" Target="https://github.com/BrooksLabUCSC/flair" TargetMode="External"/><Relationship Id="rId33" Type="http://schemas.openxmlformats.org/officeDocument/2006/relationships/hyperlink" Target="https://github.com/Xinglab/espresso" TargetMode="External"/><Relationship Id="rId34" Type="http://schemas.openxmlformats.org/officeDocument/2006/relationships/hyperlink" Target="https://www.ncbi.nlm.nih.gov/books/NBK19367/" TargetMode="External"/><Relationship Id="rId35" Type="http://schemas.openxmlformats.org/officeDocument/2006/relationships/hyperlink" Target="https://doi.org/10.64898/2026.02.17.706328" TargetMode="External"/><Relationship Id="rId36" Type="http://schemas.openxmlformats.org/officeDocument/2006/relationships/hyperlink" Target="https://doi.org/10.5281/zenodo.17602210" TargetMode="External"/><Relationship Id="rId37" Type="http://schemas.openxmlformats.org/officeDocument/2006/relationships/hyperlink" Target="https://doi.org/10.1038/s41467-024-48153-z" TargetMode="External"/><Relationship Id="rId38" Type="http://schemas.openxmlformats.org/officeDocument/2006/relationships/hyperlink" Target="https://rodrigoduarte88.github.io/neuro_rTWAS/" TargetMode="External"/><Relationship Id="rId39" Type="http://schemas.openxmlformats.org/officeDocument/2006/relationships/hyperlink" Target="https://github.com/janky-yz/SERVE" TargetMode="External"/><Relationship Id="rId40" Type="http://schemas.openxmlformats.org/officeDocument/2006/relationships/hyperlink" Target="https://doi.org/10.1038/s41467-025-62779-7" TargetMode="External"/><Relationship Id="rId41" Type="http://schemas.openxmlformats.org/officeDocument/2006/relationships/hyperlink" Target="https://chr1swallace.github.io/coloc/articles/a02_data.html" TargetMode="External"/><Relationship Id="rId42" Type="http://schemas.openxmlformats.org/officeDocument/2006/relationships/hyperlink" Target="https://chr1swallace.github.io/coloc/articles/a06_SuSiE.html" TargetMode="External"/><Relationship Id="rId43" Type="http://schemas.openxmlformats.org/officeDocument/2006/relationships/hyperlink" Target="https://yanglab.westlake.edu.cn/software/smr/" TargetMode="External"/><Relationship Id="rId44" Type="http://schemas.openxmlformats.org/officeDocument/2006/relationships/hyperlink" Target="https://doi.org/10.1038/s41588-026-02541-x" TargetMode="External"/><Relationship Id="rId45" Type="http://schemas.openxmlformats.org/officeDocument/2006/relationships/hyperlink" Target="https://doi.org/10.5281/zenodo.14908182" TargetMode="External"/><Relationship Id="rId46" Type="http://schemas.openxmlformats.org/officeDocument/2006/relationships/hyperlink" Target="https://singlebrain.nygenome.org" TargetMode="External"/><Relationship Id="rId47" Type="http://schemas.openxmlformats.org/officeDocument/2006/relationships/hyperlink" Target="https://doi.org/10.1038/s41588-022-01024-z" TargetMode="External"/><Relationship Id="rId48" Type="http://schemas.openxmlformats.org/officeDocument/2006/relationships/hyperlink" Target="https://doi.org/10.1038/s41588-021-00894-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阿尔茨海默病皮层中HERV相关转录本的细胞特异性改变与调控机制研究</dc:title>
  <dc:subject>基于公开多组学数据的研究计划书</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